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19D8F" w14:textId="77777777" w:rsidR="00354D4D" w:rsidRDefault="005B2F46" w:rsidP="006B5291">
      <w:pPr>
        <w:spacing w:before="120"/>
      </w:pPr>
      <w:r>
        <w:t>Immunome Browser map</w:t>
      </w:r>
      <w:r w:rsidR="00A87784">
        <w:t>s</w:t>
      </w:r>
      <w:r>
        <w:t xml:space="preserve"> and visualize</w:t>
      </w:r>
      <w:r w:rsidR="00A87784">
        <w:t>s</w:t>
      </w:r>
      <w:r>
        <w:t xml:space="preserve"> queried in </w:t>
      </w:r>
      <w:r w:rsidR="00A87784">
        <w:t>IEDB</w:t>
      </w:r>
      <w:r>
        <w:t xml:space="preserve"> linear peptidic epitopes along the length of a prot</w:t>
      </w:r>
      <w:r w:rsidR="00A87784">
        <w:t>ein sequence (a target</w:t>
      </w:r>
      <w:r w:rsidR="00354D4D">
        <w:t>, or reference,</w:t>
      </w:r>
      <w:r w:rsidR="00A87784">
        <w:t xml:space="preserve"> protein). T</w:t>
      </w:r>
      <w:r>
        <w:t xml:space="preserve">he purpose of </w:t>
      </w:r>
      <w:r w:rsidR="00A87784">
        <w:t xml:space="preserve">the tool </w:t>
      </w:r>
      <w:r w:rsidR="00420796">
        <w:t xml:space="preserve">is </w:t>
      </w:r>
      <w:r w:rsidR="00A87784">
        <w:t xml:space="preserve">to allow users </w:t>
      </w:r>
      <w:r>
        <w:t xml:space="preserve">exploring how often each protein region has been studied in immune assays and in how many assays the immune response was positive or negative. </w:t>
      </w:r>
    </w:p>
    <w:p w14:paraId="504C0D5F" w14:textId="49C9502A" w:rsidR="00A87784" w:rsidRDefault="00354D4D" w:rsidP="006B5291">
      <w:pPr>
        <w:spacing w:before="120"/>
      </w:pPr>
      <w:r>
        <w:t>Immunome Browser provide a summarized data by reference antigens; and the main reasons for doing that are the following: (</w:t>
      </w:r>
      <w:proofErr w:type="spellStart"/>
      <w:r>
        <w:t>i</w:t>
      </w:r>
      <w:proofErr w:type="spellEnd"/>
      <w:r>
        <w:t>) epitopes reported in IEDB were identified for different strains and protein isoforms – mapping to the reference protein allows to visualize and study such epitopes as they would have the same antigen; (2) different mutant variants of the same epitope were tested and reported; and (3) immune response varies among studies and assays due to heterogeneity of samples and complexity of immune response.</w:t>
      </w:r>
    </w:p>
    <w:p w14:paraId="2B35A895" w14:textId="7611958D" w:rsidR="00354D4D" w:rsidRDefault="00A87784" w:rsidP="006B5291">
      <w:pPr>
        <w:spacing w:before="120"/>
      </w:pPr>
      <w:proofErr w:type="spellStart"/>
      <w:r>
        <w:t>Immunone</w:t>
      </w:r>
      <w:proofErr w:type="spellEnd"/>
      <w:r>
        <w:t xml:space="preserve"> Browser is accessible in IEDB via two entry points (or tabs): either the Antigen or Epitope navigation paths </w:t>
      </w:r>
      <w:r w:rsidRPr="00420796">
        <w:rPr>
          <w:i/>
        </w:rPr>
        <w:t xml:space="preserve">[the latter is subject of release by </w:t>
      </w:r>
      <w:r w:rsidR="00354D4D">
        <w:rPr>
          <w:i/>
        </w:rPr>
        <w:t>2015 and will provide</w:t>
      </w:r>
      <w:r w:rsidR="00493F17" w:rsidRPr="00420796">
        <w:rPr>
          <w:i/>
        </w:rPr>
        <w:t xml:space="preserve"> functionality of changing mapping parameters</w:t>
      </w:r>
      <w:r w:rsidR="00354D4D">
        <w:rPr>
          <w:i/>
        </w:rPr>
        <w:t xml:space="preserve"> and target proteins</w:t>
      </w:r>
      <w:r w:rsidRPr="00420796">
        <w:rPr>
          <w:i/>
        </w:rPr>
        <w:t>].</w:t>
      </w:r>
      <w:r>
        <w:t xml:space="preserve"> </w:t>
      </w:r>
    </w:p>
    <w:p w14:paraId="27425F6A" w14:textId="6BC095DD" w:rsidR="00D26D6B" w:rsidRDefault="00D26D6B" w:rsidP="006B5291">
      <w:pPr>
        <w:spacing w:before="120"/>
      </w:pPr>
      <w:r w:rsidRPr="00D26D6B">
        <w:rPr>
          <w:b/>
        </w:rPr>
        <w:t>To get started</w:t>
      </w:r>
      <w:r>
        <w:t>, run the following query:</w:t>
      </w:r>
    </w:p>
    <w:p w14:paraId="3853390E" w14:textId="469BAF62" w:rsidR="00D26D6B" w:rsidRDefault="00D26D6B" w:rsidP="006B5291">
      <w:pPr>
        <w:spacing w:before="120"/>
      </w:pPr>
      <w:r>
        <w:rPr>
          <w:noProof/>
        </w:rPr>
        <w:drawing>
          <wp:inline distT="0" distB="0" distL="0" distR="0" wp14:anchorId="5DA40A3B" wp14:editId="4526CB2A">
            <wp:extent cx="5486400"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B_IB_help_Fig0_1.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C4CF0AE" w14:textId="77777777" w:rsidR="00D26D6B" w:rsidRDefault="00D26D6B" w:rsidP="006B5291">
      <w:pPr>
        <w:spacing w:before="120"/>
      </w:pPr>
    </w:p>
    <w:p w14:paraId="3C769749" w14:textId="77777777" w:rsidR="00D26D6B" w:rsidRDefault="00D26D6B" w:rsidP="006B5291">
      <w:pPr>
        <w:spacing w:before="120"/>
      </w:pPr>
      <w:proofErr w:type="gramStart"/>
      <w:r>
        <w:t>and</w:t>
      </w:r>
      <w:proofErr w:type="gramEnd"/>
      <w:r>
        <w:t xml:space="preserve"> click on the Immunome Browser icon:</w:t>
      </w:r>
    </w:p>
    <w:p w14:paraId="29ED89E0" w14:textId="77777777" w:rsidR="00D26D6B" w:rsidRDefault="00D26D6B" w:rsidP="006B5291">
      <w:pPr>
        <w:spacing w:before="120"/>
      </w:pPr>
      <w:r>
        <w:rPr>
          <w:noProof/>
        </w:rPr>
        <w:lastRenderedPageBreak/>
        <w:drawing>
          <wp:inline distT="0" distB="0" distL="0" distR="0" wp14:anchorId="13727DDD" wp14:editId="56BCF41B">
            <wp:extent cx="5486400"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B_IB_help_Fig0_2.jpg"/>
                    <pic:cNvPicPr/>
                  </pic:nvPicPr>
                  <pic:blipFill>
                    <a:blip r:embed="rId7">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E8735BA" w14:textId="01118C74" w:rsidR="00493F17" w:rsidRDefault="00D26D6B" w:rsidP="006B5291">
      <w:pPr>
        <w:spacing w:before="120"/>
      </w:pPr>
      <w:r>
        <w:t>E</w:t>
      </w:r>
      <w:r w:rsidR="00A87784">
        <w:t>ach selected antigen is considered to be a target protein, and the tool by default maps and visualizes all epitopes in the query result that are from the source antigen which is the target protein or any of its taxonomic child</w:t>
      </w:r>
      <w:r w:rsidR="00493F17">
        <w:t>. The mapping is done</w:t>
      </w:r>
      <w:r w:rsidR="00A87784">
        <w:t xml:space="preserve"> using the alignment between the source antigen and the target protein and matching the epitope positions in the source antigen with the residue positions in the target </w:t>
      </w:r>
      <w:r w:rsidR="00493F17">
        <w:t>protein (*</w:t>
      </w:r>
      <w:r w:rsidR="007C6688">
        <w:t xml:space="preserve"> -- the default mapping criteria are provided below</w:t>
      </w:r>
      <w:r w:rsidR="00493F17">
        <w:t xml:space="preserve">). </w:t>
      </w:r>
      <w:r w:rsidR="00493F17" w:rsidRPr="00DA13F2">
        <w:rPr>
          <w:b/>
        </w:rPr>
        <w:t>Note</w:t>
      </w:r>
      <w:r w:rsidR="00DA13F2">
        <w:t xml:space="preserve">, </w:t>
      </w:r>
      <w:r w:rsidR="00493F17">
        <w:t>by default,</w:t>
      </w:r>
      <w:r w:rsidR="00A87784">
        <w:t xml:space="preserve"> epitopes that were tested as negative for the correspondent query will be mapped</w:t>
      </w:r>
      <w:r w:rsidR="00493F17">
        <w:t xml:space="preserve"> as well</w:t>
      </w:r>
      <w:r w:rsidR="00A87784">
        <w:t>, even if the user queried only for positive assays</w:t>
      </w:r>
      <w:r w:rsidR="00493F17">
        <w:t>.</w:t>
      </w:r>
      <w:r w:rsidR="00354D4D">
        <w:t xml:space="preserve"> Also, the epitopes that failed to satisfy the default mapping criteria won’t be mapped and visualized.</w:t>
      </w:r>
    </w:p>
    <w:p w14:paraId="6F732975" w14:textId="77777777" w:rsidR="00DA13F2" w:rsidRPr="009327D7" w:rsidRDefault="00493F17" w:rsidP="006B5291">
      <w:pPr>
        <w:spacing w:before="120"/>
        <w:rPr>
          <w:b/>
        </w:rPr>
      </w:pPr>
      <w:r w:rsidRPr="009327D7">
        <w:rPr>
          <w:b/>
        </w:rPr>
        <w:t>Immunome Browser output</w:t>
      </w:r>
      <w:r w:rsidR="007C6688" w:rsidRPr="009327D7">
        <w:rPr>
          <w:b/>
        </w:rPr>
        <w:t>s</w:t>
      </w:r>
      <w:r w:rsidRPr="009327D7">
        <w:rPr>
          <w:b/>
        </w:rPr>
        <w:t xml:space="preserve"> </w:t>
      </w:r>
      <w:r w:rsidR="007C6688" w:rsidRPr="009327D7">
        <w:rPr>
          <w:b/>
        </w:rPr>
        <w:t xml:space="preserve">two plots and the table. </w:t>
      </w:r>
    </w:p>
    <w:p w14:paraId="1945FF55" w14:textId="0058A56D" w:rsidR="00D26D6B" w:rsidRDefault="00D26D6B" w:rsidP="00A00ABD">
      <w:pPr>
        <w:widowControl w:val="0"/>
        <w:autoSpaceDE w:val="0"/>
        <w:autoSpaceDN w:val="0"/>
        <w:adjustRightInd w:val="0"/>
        <w:spacing w:after="120"/>
      </w:pPr>
      <w:r>
        <w:rPr>
          <w:noProof/>
        </w:rPr>
        <w:lastRenderedPageBreak/>
        <w:drawing>
          <wp:inline distT="0" distB="0" distL="0" distR="0" wp14:anchorId="63CEF4F0" wp14:editId="734CA5A1">
            <wp:extent cx="5486400" cy="411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B_IB_help_Fig0_3.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E7AF750" w14:textId="77777777" w:rsidR="00D26D6B" w:rsidRDefault="00D26D6B" w:rsidP="00A00ABD">
      <w:pPr>
        <w:widowControl w:val="0"/>
        <w:autoSpaceDE w:val="0"/>
        <w:autoSpaceDN w:val="0"/>
        <w:adjustRightInd w:val="0"/>
        <w:spacing w:after="120"/>
      </w:pPr>
    </w:p>
    <w:p w14:paraId="1AA1FE94" w14:textId="2D0A9F12" w:rsidR="006E67C4" w:rsidRDefault="006E67C4" w:rsidP="00A00ABD">
      <w:pPr>
        <w:widowControl w:val="0"/>
        <w:autoSpaceDE w:val="0"/>
        <w:autoSpaceDN w:val="0"/>
        <w:adjustRightInd w:val="0"/>
        <w:spacing w:after="120"/>
      </w:pPr>
      <w:r w:rsidRPr="006E67C4">
        <w:rPr>
          <w:b/>
        </w:rPr>
        <w:t>The results are query-specific!</w:t>
      </w:r>
      <w:r>
        <w:t xml:space="preserve"> See the following figures for examples.</w:t>
      </w:r>
    </w:p>
    <w:p w14:paraId="27251D11" w14:textId="77777777" w:rsidR="006E67C4" w:rsidRDefault="006E67C4" w:rsidP="00A00ABD">
      <w:pPr>
        <w:widowControl w:val="0"/>
        <w:autoSpaceDE w:val="0"/>
        <w:autoSpaceDN w:val="0"/>
        <w:adjustRightInd w:val="0"/>
        <w:spacing w:after="120"/>
      </w:pPr>
      <w:r>
        <w:rPr>
          <w:noProof/>
        </w:rPr>
        <w:lastRenderedPageBreak/>
        <w:drawing>
          <wp:inline distT="0" distB="0" distL="0" distR="0" wp14:anchorId="1D35CE8F" wp14:editId="6216FE42">
            <wp:extent cx="548640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B_IB_help_Fig0_4.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095EFD7" w14:textId="77777777" w:rsidR="006E67C4" w:rsidRDefault="006E67C4" w:rsidP="00A00ABD">
      <w:pPr>
        <w:widowControl w:val="0"/>
        <w:autoSpaceDE w:val="0"/>
        <w:autoSpaceDN w:val="0"/>
        <w:adjustRightInd w:val="0"/>
        <w:spacing w:after="120"/>
      </w:pPr>
      <w:r>
        <w:rPr>
          <w:noProof/>
        </w:rPr>
        <w:lastRenderedPageBreak/>
        <w:drawing>
          <wp:inline distT="0" distB="0" distL="0" distR="0" wp14:anchorId="2E7106C1" wp14:editId="0DB6959A">
            <wp:extent cx="5486400"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B_IB_help_Fig0_5.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1EEB8D8" w14:textId="77777777" w:rsidR="006E67C4" w:rsidRDefault="006E67C4" w:rsidP="00A00ABD">
      <w:pPr>
        <w:widowControl w:val="0"/>
        <w:autoSpaceDE w:val="0"/>
        <w:autoSpaceDN w:val="0"/>
        <w:adjustRightInd w:val="0"/>
        <w:spacing w:after="120"/>
      </w:pPr>
    </w:p>
    <w:p w14:paraId="2851B1BF" w14:textId="031EDC1B" w:rsidR="00A00ABD" w:rsidRPr="00A00ABD" w:rsidRDefault="00493F17" w:rsidP="00A00ABD">
      <w:pPr>
        <w:widowControl w:val="0"/>
        <w:autoSpaceDE w:val="0"/>
        <w:autoSpaceDN w:val="0"/>
        <w:adjustRightInd w:val="0"/>
        <w:spacing w:after="120"/>
        <w:rPr>
          <w:rFonts w:cs="Arial"/>
          <w:color w:val="262626"/>
        </w:rPr>
      </w:pPr>
      <w:r w:rsidRPr="00A00ABD">
        <w:t xml:space="preserve">The upper plot renders the lower </w:t>
      </w:r>
      <w:r w:rsidR="003E513E" w:rsidRPr="00A00ABD">
        <w:t xml:space="preserve">(dark color) </w:t>
      </w:r>
      <w:r w:rsidRPr="00A00ABD">
        <w:t xml:space="preserve">and upper </w:t>
      </w:r>
      <w:r w:rsidR="003E513E" w:rsidRPr="00A00ABD">
        <w:t xml:space="preserve">(light color) </w:t>
      </w:r>
      <w:r w:rsidRPr="00A00ABD">
        <w:t xml:space="preserve">bounds of the </w:t>
      </w:r>
      <w:r w:rsidRPr="009327D7">
        <w:rPr>
          <w:b/>
        </w:rPr>
        <w:t xml:space="preserve">95% confidence interval </w:t>
      </w:r>
      <w:r w:rsidR="00DA13F2" w:rsidRPr="009327D7">
        <w:rPr>
          <w:b/>
        </w:rPr>
        <w:t>(CI)</w:t>
      </w:r>
      <w:r w:rsidR="00354D4D" w:rsidRPr="009327D7">
        <w:rPr>
          <w:b/>
        </w:rPr>
        <w:t xml:space="preserve"> </w:t>
      </w:r>
      <w:r w:rsidRPr="009327D7">
        <w:rPr>
          <w:b/>
        </w:rPr>
        <w:t xml:space="preserve">of the response frequency </w:t>
      </w:r>
      <w:r w:rsidR="00354D4D" w:rsidRPr="009327D7">
        <w:rPr>
          <w:b/>
        </w:rPr>
        <w:t>(RF)</w:t>
      </w:r>
      <w:r w:rsidR="00DA13F2" w:rsidRPr="009327D7">
        <w:rPr>
          <w:b/>
        </w:rPr>
        <w:t>**</w:t>
      </w:r>
      <w:r w:rsidR="00354D4D" w:rsidRPr="00A00ABD">
        <w:t xml:space="preserve"> </w:t>
      </w:r>
      <w:r w:rsidRPr="00A00ABD">
        <w:rPr>
          <w:b/>
        </w:rPr>
        <w:t xml:space="preserve">for each </w:t>
      </w:r>
      <w:r w:rsidR="00A00ABD" w:rsidRPr="00A00ABD">
        <w:rPr>
          <w:b/>
        </w:rPr>
        <w:t>position</w:t>
      </w:r>
      <w:r w:rsidR="00A00ABD">
        <w:t xml:space="preserve"> </w:t>
      </w:r>
      <w:r w:rsidRPr="00A00ABD">
        <w:t>target protein position, averaged over all epitopes mapped to that position</w:t>
      </w:r>
      <w:r w:rsidR="00354D4D" w:rsidRPr="00A00ABD">
        <w:t>. RF is</w:t>
      </w:r>
      <w:r w:rsidRPr="00A00ABD">
        <w:t xml:space="preserve"> calculated as the number of positively responded subjects (or individuals in this case) relative to the total number of those tested</w:t>
      </w:r>
      <w:r w:rsidR="00354D4D" w:rsidRPr="00A00ABD">
        <w:t xml:space="preserve"> summed up by mapped epitopes</w:t>
      </w:r>
      <w:r w:rsidRPr="00A00ABD">
        <w:t xml:space="preserve">. </w:t>
      </w:r>
      <w:r w:rsidR="00A00ABD" w:rsidRPr="00A00ABD">
        <w:rPr>
          <w:rFonts w:cs="Arial"/>
          <w:b/>
          <w:color w:val="262626"/>
        </w:rPr>
        <w:t>Note</w:t>
      </w:r>
      <w:r w:rsidR="00A00ABD" w:rsidRPr="00A00ABD">
        <w:rPr>
          <w:rFonts w:cs="Arial"/>
          <w:color w:val="262626"/>
        </w:rPr>
        <w:t>, however, that the graph displays only the upper and lower bounds of the 95% confidence interval (CI) for the RF score and not the RF score</w:t>
      </w:r>
      <w:r w:rsidR="00A00ABD">
        <w:rPr>
          <w:rFonts w:cs="Arial"/>
          <w:color w:val="262626"/>
        </w:rPr>
        <w:t xml:space="preserve"> itself. </w:t>
      </w:r>
    </w:p>
    <w:p w14:paraId="7D120B11" w14:textId="300A5E92" w:rsidR="00354D4D" w:rsidRPr="00A00ABD" w:rsidRDefault="00354D4D" w:rsidP="006B5291">
      <w:pPr>
        <w:spacing w:before="120"/>
      </w:pPr>
    </w:p>
    <w:p w14:paraId="3B0A72A1" w14:textId="77777777" w:rsidR="00DA13F2" w:rsidRDefault="00DA13F2" w:rsidP="006B5291">
      <w:pPr>
        <w:spacing w:before="120"/>
      </w:pPr>
      <w:r>
        <w:rPr>
          <w:noProof/>
        </w:rPr>
        <w:lastRenderedPageBreak/>
        <w:drawing>
          <wp:inline distT="0" distB="0" distL="0" distR="0" wp14:anchorId="2854E912" wp14:editId="6B8A7DD6">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B_IB_help_Fig1.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1D9D505" w14:textId="3115A9A6" w:rsidR="00DA13F2" w:rsidRPr="009327D7" w:rsidRDefault="00493F17" w:rsidP="006B5291">
      <w:pPr>
        <w:spacing w:before="120"/>
        <w:rPr>
          <w:b/>
        </w:rPr>
      </w:pPr>
      <w:r w:rsidRPr="009327D7">
        <w:rPr>
          <w:b/>
        </w:rPr>
        <w:t xml:space="preserve">The bottom plot shows the number of positive and negative assays averaged over epitopes mapped to each position </w:t>
      </w:r>
      <w:r w:rsidR="009327D7">
        <w:rPr>
          <w:b/>
        </w:rPr>
        <w:t>of the target protein</w:t>
      </w:r>
      <w:r w:rsidRPr="009327D7">
        <w:rPr>
          <w:b/>
        </w:rPr>
        <w:t xml:space="preserve">. </w:t>
      </w:r>
    </w:p>
    <w:p w14:paraId="0ED46413" w14:textId="77777777" w:rsidR="00DA13F2" w:rsidRDefault="00DA13F2" w:rsidP="006B5291">
      <w:pPr>
        <w:spacing w:before="120"/>
      </w:pPr>
      <w:r>
        <w:rPr>
          <w:noProof/>
        </w:rPr>
        <w:lastRenderedPageBreak/>
        <w:drawing>
          <wp:inline distT="0" distB="0" distL="0" distR="0" wp14:anchorId="4D7858BC" wp14:editId="6338A30F">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B_IB_help_Fig2.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271A0119" w14:textId="77777777" w:rsidR="009327D7" w:rsidRDefault="009327D7" w:rsidP="006B5291">
      <w:pPr>
        <w:spacing w:before="120"/>
      </w:pPr>
    </w:p>
    <w:p w14:paraId="1C15BA87" w14:textId="2BA8F3F9" w:rsidR="00A00ABD" w:rsidRDefault="00493F17" w:rsidP="006B5291">
      <w:pPr>
        <w:spacing w:before="120"/>
      </w:pPr>
      <w:r>
        <w:t xml:space="preserve">The table presents results </w:t>
      </w:r>
      <w:r w:rsidRPr="00A00ABD">
        <w:rPr>
          <w:b/>
        </w:rPr>
        <w:t>for each epitope</w:t>
      </w:r>
      <w:r w:rsidR="007C6688">
        <w:t xml:space="preserve">. </w:t>
      </w:r>
      <w:r w:rsidR="00A00ABD">
        <w:t>The figures below provide explanation how values in the table are calculated.</w:t>
      </w:r>
    </w:p>
    <w:p w14:paraId="3BA32840" w14:textId="1ACE5665" w:rsidR="00A00ABD" w:rsidRDefault="00A00ABD" w:rsidP="006B5291">
      <w:pPr>
        <w:spacing w:before="120"/>
      </w:pPr>
      <w:r>
        <w:rPr>
          <w:noProof/>
        </w:rPr>
        <w:lastRenderedPageBreak/>
        <w:drawing>
          <wp:inline distT="0" distB="0" distL="0" distR="0" wp14:anchorId="78D520AD" wp14:editId="58093573">
            <wp:extent cx="54864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B_IB_help_Fig3.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6D8643D2" w14:textId="20F75ED4" w:rsidR="00A00ABD" w:rsidRDefault="00A00ABD" w:rsidP="00CF2066">
      <w:pPr>
        <w:spacing w:before="120"/>
        <w:jc w:val="center"/>
      </w:pPr>
      <w:r>
        <w:rPr>
          <w:noProof/>
        </w:rPr>
        <w:lastRenderedPageBreak/>
        <w:drawing>
          <wp:inline distT="0" distB="0" distL="0" distR="0" wp14:anchorId="13AB2A78" wp14:editId="2B0A94E4">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B_IB_help_Fig4.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bookmarkStart w:id="0" w:name="_GoBack"/>
      <w:r w:rsidR="00CF2066">
        <w:rPr>
          <w:noProof/>
        </w:rPr>
        <w:lastRenderedPageBreak/>
        <w:drawing>
          <wp:inline distT="0" distB="0" distL="0" distR="0" wp14:anchorId="4CFDA289" wp14:editId="7FD559E5">
            <wp:extent cx="5421917" cy="4164108"/>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BrowserFigure10.png"/>
                    <pic:cNvPicPr/>
                  </pic:nvPicPr>
                  <pic:blipFill>
                    <a:blip r:embed="rId15">
                      <a:extLst>
                        <a:ext uri="{28A0092B-C50C-407E-A947-70E740481C1C}">
                          <a14:useLocalDpi xmlns:a14="http://schemas.microsoft.com/office/drawing/2010/main" val="0"/>
                        </a:ext>
                      </a:extLst>
                    </a:blip>
                    <a:stretch>
                      <a:fillRect/>
                    </a:stretch>
                  </pic:blipFill>
                  <pic:spPr>
                    <a:xfrm>
                      <a:off x="0" y="0"/>
                      <a:ext cx="5421917" cy="4164108"/>
                    </a:xfrm>
                    <a:prstGeom prst="rect">
                      <a:avLst/>
                    </a:prstGeom>
                  </pic:spPr>
                </pic:pic>
              </a:graphicData>
            </a:graphic>
          </wp:inline>
        </w:drawing>
      </w:r>
      <w:bookmarkEnd w:id="0"/>
    </w:p>
    <w:p w14:paraId="2DAE5552" w14:textId="77777777" w:rsidR="00A00ABD" w:rsidRDefault="00A00ABD" w:rsidP="006B5291">
      <w:pPr>
        <w:spacing w:before="120"/>
      </w:pPr>
    </w:p>
    <w:p w14:paraId="121657EB" w14:textId="0BA473C6" w:rsidR="00A00ABD" w:rsidRPr="00A00ABD" w:rsidRDefault="00A00ABD" w:rsidP="00A00ABD">
      <w:pPr>
        <w:widowControl w:val="0"/>
        <w:autoSpaceDE w:val="0"/>
        <w:autoSpaceDN w:val="0"/>
        <w:adjustRightInd w:val="0"/>
        <w:spacing w:after="120"/>
        <w:rPr>
          <w:rFonts w:cs="Arial"/>
          <w:color w:val="262626"/>
        </w:rPr>
      </w:pPr>
      <w:r w:rsidRPr="00A00ABD">
        <w:rPr>
          <w:rFonts w:cs="Arial"/>
          <w:b/>
          <w:color w:val="262626"/>
        </w:rPr>
        <w:t>Note</w:t>
      </w:r>
      <w:r>
        <w:rPr>
          <w:rFonts w:cs="Arial"/>
          <w:b/>
          <w:color w:val="262626"/>
        </w:rPr>
        <w:t xml:space="preserve"> the </w:t>
      </w:r>
      <w:r w:rsidR="009327D7">
        <w:rPr>
          <w:rFonts w:cs="Arial"/>
          <w:b/>
          <w:color w:val="262626"/>
        </w:rPr>
        <w:t xml:space="preserve">essential </w:t>
      </w:r>
      <w:r>
        <w:rPr>
          <w:rFonts w:cs="Arial"/>
          <w:b/>
          <w:color w:val="262626"/>
        </w:rPr>
        <w:t xml:space="preserve">difference: </w:t>
      </w:r>
      <w:r>
        <w:rPr>
          <w:rFonts w:cs="Arial"/>
          <w:color w:val="262626"/>
        </w:rPr>
        <w:t xml:space="preserve">the plots depict values </w:t>
      </w:r>
      <w:r w:rsidRPr="00A00ABD">
        <w:rPr>
          <w:rFonts w:cs="Arial"/>
          <w:color w:val="262626"/>
        </w:rPr>
        <w:t xml:space="preserve">defined </w:t>
      </w:r>
      <w:r w:rsidRPr="00A00ABD">
        <w:rPr>
          <w:rFonts w:cs="Arial"/>
          <w:color w:val="262626"/>
          <w:u w:val="single"/>
        </w:rPr>
        <w:t>for each residue position</w:t>
      </w:r>
      <w:r w:rsidRPr="00A00ABD">
        <w:rPr>
          <w:rFonts w:cs="Arial"/>
          <w:color w:val="262626"/>
        </w:rPr>
        <w:t xml:space="preserve"> in the target protein; while the table displays the values of the RF score and CI </w:t>
      </w:r>
      <w:r w:rsidRPr="00A00ABD">
        <w:rPr>
          <w:rFonts w:cs="Arial"/>
          <w:color w:val="262626"/>
          <w:u w:val="single"/>
        </w:rPr>
        <w:t>for each epitope</w:t>
      </w:r>
      <w:r w:rsidRPr="00A00ABD">
        <w:rPr>
          <w:rFonts w:cs="Arial"/>
          <w:color w:val="262626"/>
        </w:rPr>
        <w:t>.</w:t>
      </w:r>
    </w:p>
    <w:p w14:paraId="1B7ECA9C" w14:textId="52E4C6E0" w:rsidR="00493F17" w:rsidRDefault="00493F17" w:rsidP="006B5291">
      <w:pPr>
        <w:spacing w:before="120"/>
      </w:pPr>
      <w:r>
        <w:t>The user can interactively zoom in and out the plots to a specific protein region and</w:t>
      </w:r>
      <w:r w:rsidR="003E513E">
        <w:t xml:space="preserve">, if the check </w:t>
      </w:r>
      <w:r w:rsidR="007C6688">
        <w:t>box for the table to correspond the plots is selected, the table is automatically updated t</w:t>
      </w:r>
      <w:r>
        <w:t xml:space="preserve">o show only epitope from the selected region. </w:t>
      </w:r>
    </w:p>
    <w:p w14:paraId="7A25E315" w14:textId="77777777" w:rsidR="00A87784" w:rsidRDefault="00A87784" w:rsidP="006B5291">
      <w:pPr>
        <w:pBdr>
          <w:bottom w:val="single" w:sz="6" w:space="1" w:color="auto"/>
        </w:pBdr>
        <w:spacing w:before="120"/>
      </w:pPr>
    </w:p>
    <w:p w14:paraId="1A859052" w14:textId="77777777" w:rsidR="00493F17" w:rsidRPr="00354D4D" w:rsidRDefault="00493F17" w:rsidP="006B5291">
      <w:pPr>
        <w:spacing w:before="120"/>
        <w:rPr>
          <w:b/>
          <w:sz w:val="22"/>
        </w:rPr>
      </w:pPr>
      <w:r w:rsidRPr="00354D4D">
        <w:rPr>
          <w:b/>
          <w:sz w:val="22"/>
        </w:rPr>
        <w:t xml:space="preserve">* Default mapping criteria: </w:t>
      </w:r>
    </w:p>
    <w:p w14:paraId="10FE5EA7" w14:textId="59B1A5F8" w:rsidR="00493F17" w:rsidRPr="007C6688" w:rsidRDefault="00493F17" w:rsidP="006B5291">
      <w:pPr>
        <w:pStyle w:val="ListParagraph"/>
        <w:numPr>
          <w:ilvl w:val="0"/>
          <w:numId w:val="1"/>
        </w:numPr>
        <w:spacing w:before="120"/>
        <w:contextualSpacing w:val="0"/>
        <w:rPr>
          <w:sz w:val="22"/>
        </w:rPr>
      </w:pPr>
      <w:r w:rsidRPr="007C6688">
        <w:rPr>
          <w:sz w:val="22"/>
        </w:rPr>
        <w:t xml:space="preserve">Source protein and target alignment: NCBI Blast is used with default parameters. If less than </w:t>
      </w:r>
      <w:r w:rsidR="006B5291" w:rsidRPr="007C6688">
        <w:rPr>
          <w:sz w:val="22"/>
        </w:rPr>
        <w:t xml:space="preserve">a </w:t>
      </w:r>
      <w:r w:rsidRPr="007C6688">
        <w:rPr>
          <w:sz w:val="22"/>
        </w:rPr>
        <w:t xml:space="preserve">half of the length source protein were aligned or the epitope match didn’t satisfy identity criteria, </w:t>
      </w:r>
      <w:r w:rsidR="006B5291" w:rsidRPr="007C6688">
        <w:rPr>
          <w:sz w:val="22"/>
        </w:rPr>
        <w:t xml:space="preserve">the </w:t>
      </w:r>
      <w:proofErr w:type="spellStart"/>
      <w:r w:rsidR="000F3229" w:rsidRPr="007C6688">
        <w:rPr>
          <w:sz w:val="22"/>
        </w:rPr>
        <w:t>needlman-wu</w:t>
      </w:r>
      <w:r w:rsidR="006B5291" w:rsidRPr="007C6688">
        <w:rPr>
          <w:sz w:val="22"/>
        </w:rPr>
        <w:t>n</w:t>
      </w:r>
      <w:r w:rsidR="000F3229" w:rsidRPr="007C6688">
        <w:rPr>
          <w:sz w:val="22"/>
        </w:rPr>
        <w:t>sch</w:t>
      </w:r>
      <w:proofErr w:type="spellEnd"/>
      <w:r w:rsidR="000F3229" w:rsidRPr="007C6688">
        <w:rPr>
          <w:sz w:val="22"/>
        </w:rPr>
        <w:t xml:space="preserve"> algorithm for global alignment was used</w:t>
      </w:r>
      <w:r w:rsidR="006B5291" w:rsidRPr="007C6688">
        <w:rPr>
          <w:sz w:val="22"/>
        </w:rPr>
        <w:t>.</w:t>
      </w:r>
    </w:p>
    <w:p w14:paraId="362EE980" w14:textId="2D4E871E" w:rsidR="006B5291" w:rsidRPr="007C6688" w:rsidRDefault="006B5291" w:rsidP="006B5291">
      <w:pPr>
        <w:pStyle w:val="ListParagraph"/>
        <w:numPr>
          <w:ilvl w:val="0"/>
          <w:numId w:val="1"/>
        </w:numPr>
        <w:spacing w:before="120"/>
        <w:contextualSpacing w:val="0"/>
        <w:rPr>
          <w:sz w:val="22"/>
        </w:rPr>
      </w:pPr>
      <w:r w:rsidRPr="007C6688">
        <w:rPr>
          <w:sz w:val="22"/>
        </w:rPr>
        <w:t>Epitope match</w:t>
      </w:r>
      <w:r w:rsidR="0070396C">
        <w:rPr>
          <w:sz w:val="22"/>
        </w:rPr>
        <w:t>ing</w:t>
      </w:r>
      <w:r w:rsidRPr="007C6688">
        <w:rPr>
          <w:sz w:val="22"/>
        </w:rPr>
        <w:t xml:space="preserve"> criteria:</w:t>
      </w:r>
    </w:p>
    <w:p w14:paraId="23DFF1B4" w14:textId="6D2EC6D2" w:rsidR="006B5291" w:rsidRPr="007C6688" w:rsidRDefault="006B5291" w:rsidP="006B5291">
      <w:pPr>
        <w:pStyle w:val="ListParagraph"/>
        <w:numPr>
          <w:ilvl w:val="0"/>
          <w:numId w:val="2"/>
        </w:numPr>
        <w:spacing w:before="120"/>
        <w:contextualSpacing w:val="0"/>
        <w:rPr>
          <w:sz w:val="22"/>
        </w:rPr>
      </w:pPr>
      <w:r w:rsidRPr="007C6688">
        <w:rPr>
          <w:sz w:val="22"/>
        </w:rPr>
        <w:t xml:space="preserve">Short epitopes of length &lt;= 5 </w:t>
      </w:r>
      <w:proofErr w:type="gramStart"/>
      <w:r w:rsidRPr="007C6688">
        <w:rPr>
          <w:sz w:val="22"/>
        </w:rPr>
        <w:t>aa</w:t>
      </w:r>
      <w:proofErr w:type="gramEnd"/>
      <w:r w:rsidRPr="007C6688">
        <w:rPr>
          <w:sz w:val="22"/>
        </w:rPr>
        <w:t>. Sequence identity = 100%, no gaps in the matching alignment.</w:t>
      </w:r>
    </w:p>
    <w:p w14:paraId="01FD4AE4" w14:textId="6C88D2F4" w:rsidR="006B5291" w:rsidRPr="007C6688" w:rsidRDefault="006B5291" w:rsidP="006B5291">
      <w:pPr>
        <w:pStyle w:val="ListParagraph"/>
        <w:numPr>
          <w:ilvl w:val="0"/>
          <w:numId w:val="2"/>
        </w:numPr>
        <w:spacing w:before="120"/>
        <w:contextualSpacing w:val="0"/>
        <w:rPr>
          <w:sz w:val="22"/>
        </w:rPr>
      </w:pPr>
      <w:r w:rsidRPr="007C6688">
        <w:rPr>
          <w:sz w:val="22"/>
        </w:rPr>
        <w:t xml:space="preserve">Long epitope &gt; 5 </w:t>
      </w:r>
      <w:proofErr w:type="gramStart"/>
      <w:r w:rsidRPr="007C6688">
        <w:rPr>
          <w:sz w:val="22"/>
        </w:rPr>
        <w:t>aa</w:t>
      </w:r>
      <w:proofErr w:type="gramEnd"/>
      <w:r w:rsidRPr="007C6688">
        <w:rPr>
          <w:sz w:val="22"/>
        </w:rPr>
        <w:t>. Sequence identity &gt;= 50%, maximum length fraction of gaps in the alignment (for each source and target) = 20%.</w:t>
      </w:r>
    </w:p>
    <w:p w14:paraId="7F85084B" w14:textId="406CDD8F" w:rsidR="006B5291" w:rsidRDefault="006B5291" w:rsidP="006B5291">
      <w:pPr>
        <w:pStyle w:val="ListParagraph"/>
        <w:numPr>
          <w:ilvl w:val="0"/>
          <w:numId w:val="2"/>
        </w:numPr>
        <w:spacing w:before="120"/>
        <w:contextualSpacing w:val="0"/>
        <w:rPr>
          <w:sz w:val="22"/>
        </w:rPr>
      </w:pPr>
      <w:r w:rsidRPr="007C6688">
        <w:rPr>
          <w:sz w:val="22"/>
        </w:rPr>
        <w:lastRenderedPageBreak/>
        <w:t xml:space="preserve">Long epitopes (&gt; 5 aa) that have multiple exact matches in the source protein. Sequence identity &gt;= 70%, sequence similarity (based on BLOSUM62) = 100%, no gaps in the matching alignment. </w:t>
      </w:r>
    </w:p>
    <w:p w14:paraId="4B772E5F" w14:textId="77777777" w:rsidR="00354D4D" w:rsidRDefault="00354D4D" w:rsidP="00354D4D">
      <w:pPr>
        <w:spacing w:before="120"/>
        <w:rPr>
          <w:sz w:val="22"/>
        </w:rPr>
      </w:pPr>
    </w:p>
    <w:p w14:paraId="5C99A8FC" w14:textId="685C5E5F" w:rsidR="00354D4D" w:rsidRPr="00354D4D" w:rsidRDefault="00354D4D" w:rsidP="00354D4D">
      <w:pPr>
        <w:spacing w:before="120"/>
        <w:rPr>
          <w:b/>
          <w:sz w:val="22"/>
        </w:rPr>
      </w:pPr>
      <w:r w:rsidRPr="00354D4D">
        <w:rPr>
          <w:b/>
          <w:sz w:val="22"/>
        </w:rPr>
        <w:t xml:space="preserve">** </w:t>
      </w:r>
      <w:r>
        <w:rPr>
          <w:b/>
          <w:sz w:val="22"/>
        </w:rPr>
        <w:t xml:space="preserve">Response Frequency (RF) and </w:t>
      </w:r>
      <w:r w:rsidRPr="00354D4D">
        <w:rPr>
          <w:b/>
          <w:sz w:val="22"/>
        </w:rPr>
        <w:t>Confidence Interval</w:t>
      </w:r>
      <w:r>
        <w:rPr>
          <w:b/>
          <w:sz w:val="22"/>
        </w:rPr>
        <w:t xml:space="preserve"> (CI)</w:t>
      </w:r>
      <w:r w:rsidR="00D26D6B">
        <w:rPr>
          <w:b/>
          <w:sz w:val="22"/>
        </w:rPr>
        <w:t xml:space="preserve"> calculation:</w:t>
      </w:r>
      <w:r w:rsidRPr="00354D4D">
        <w:rPr>
          <w:b/>
          <w:sz w:val="22"/>
        </w:rPr>
        <w:t xml:space="preserve"> </w:t>
      </w:r>
    </w:p>
    <w:p w14:paraId="191D27D3" w14:textId="77777777" w:rsidR="00A00ABD" w:rsidRPr="009327D7" w:rsidRDefault="00A00ABD" w:rsidP="009327D7">
      <w:pPr>
        <w:spacing w:before="120"/>
        <w:ind w:left="360"/>
        <w:rPr>
          <w:sz w:val="22"/>
          <w:szCs w:val="22"/>
        </w:rPr>
      </w:pPr>
      <w:r w:rsidRPr="009327D7">
        <w:rPr>
          <w:rFonts w:cs="Arial"/>
          <w:b/>
          <w:i/>
          <w:color w:val="262626"/>
          <w:sz w:val="22"/>
          <w:szCs w:val="22"/>
        </w:rPr>
        <w:t xml:space="preserve">N </w:t>
      </w:r>
      <w:r w:rsidRPr="009327D7">
        <w:rPr>
          <w:rFonts w:cs="Arial"/>
          <w:b/>
          <w:color w:val="262626"/>
          <w:sz w:val="22"/>
          <w:szCs w:val="22"/>
        </w:rPr>
        <w:t>is the number of subjects tested</w:t>
      </w:r>
      <w:r w:rsidRPr="009327D7">
        <w:rPr>
          <w:rFonts w:cs="Arial"/>
          <w:color w:val="262626"/>
          <w:sz w:val="22"/>
          <w:szCs w:val="22"/>
        </w:rPr>
        <w:t xml:space="preserve">, and </w:t>
      </w:r>
      <w:r w:rsidRPr="009327D7">
        <w:rPr>
          <w:rFonts w:cs="Arial"/>
          <w:b/>
          <w:i/>
          <w:color w:val="262626"/>
          <w:sz w:val="22"/>
          <w:szCs w:val="22"/>
        </w:rPr>
        <w:t xml:space="preserve">R </w:t>
      </w:r>
      <w:r w:rsidRPr="009327D7">
        <w:rPr>
          <w:rFonts w:cs="Arial"/>
          <w:b/>
          <w:color w:val="262626"/>
          <w:sz w:val="22"/>
          <w:szCs w:val="22"/>
        </w:rPr>
        <w:t>is the number of subjects responded.</w:t>
      </w:r>
    </w:p>
    <w:p w14:paraId="53E7626A" w14:textId="77777777" w:rsidR="009A394C" w:rsidRPr="009327D7" w:rsidRDefault="009A394C" w:rsidP="009327D7">
      <w:pPr>
        <w:widowControl w:val="0"/>
        <w:autoSpaceDE w:val="0"/>
        <w:autoSpaceDN w:val="0"/>
        <w:adjustRightInd w:val="0"/>
        <w:spacing w:before="120"/>
        <w:ind w:left="360"/>
        <w:rPr>
          <w:rFonts w:cs="Arial"/>
          <w:color w:val="262626"/>
          <w:sz w:val="22"/>
          <w:szCs w:val="22"/>
        </w:rPr>
      </w:pPr>
      <w:r w:rsidRPr="009327D7">
        <w:rPr>
          <w:rFonts w:cs="Arial"/>
          <w:color w:val="262626"/>
          <w:sz w:val="22"/>
          <w:szCs w:val="22"/>
        </w:rPr>
        <w:t xml:space="preserve">If an assay lacks information on the number of subjects responded or tested, the following values of </w:t>
      </w:r>
      <w:r w:rsidRPr="009327D7">
        <w:rPr>
          <w:rFonts w:cs="Arial"/>
          <w:i/>
          <w:color w:val="262626"/>
          <w:sz w:val="22"/>
          <w:szCs w:val="22"/>
        </w:rPr>
        <w:t xml:space="preserve">N </w:t>
      </w:r>
      <w:r w:rsidRPr="009327D7">
        <w:rPr>
          <w:rFonts w:cs="Arial"/>
          <w:color w:val="262626"/>
          <w:sz w:val="22"/>
          <w:szCs w:val="22"/>
        </w:rPr>
        <w:t xml:space="preserve">and </w:t>
      </w:r>
      <w:r w:rsidRPr="009327D7">
        <w:rPr>
          <w:rFonts w:cs="Arial"/>
          <w:i/>
          <w:color w:val="262626"/>
          <w:sz w:val="22"/>
          <w:szCs w:val="22"/>
        </w:rPr>
        <w:t xml:space="preserve">R </w:t>
      </w:r>
      <w:r w:rsidRPr="009327D7">
        <w:rPr>
          <w:rFonts w:cs="Arial"/>
          <w:color w:val="262626"/>
          <w:sz w:val="22"/>
          <w:szCs w:val="22"/>
        </w:rPr>
        <w:t xml:space="preserve">are used: </w:t>
      </w:r>
    </w:p>
    <w:p w14:paraId="6EB75585" w14:textId="77777777" w:rsidR="009A394C" w:rsidRPr="009327D7" w:rsidRDefault="009A394C" w:rsidP="009327D7">
      <w:pPr>
        <w:widowControl w:val="0"/>
        <w:autoSpaceDE w:val="0"/>
        <w:autoSpaceDN w:val="0"/>
        <w:adjustRightInd w:val="0"/>
        <w:spacing w:before="120"/>
        <w:ind w:left="1080"/>
        <w:rPr>
          <w:rFonts w:cs="Arial"/>
          <w:color w:val="262626"/>
          <w:sz w:val="22"/>
          <w:szCs w:val="22"/>
        </w:rPr>
      </w:pPr>
      <w:r w:rsidRPr="009327D7">
        <w:rPr>
          <w:rFonts w:cs="Arial"/>
          <w:i/>
          <w:color w:val="262626"/>
          <w:sz w:val="22"/>
          <w:szCs w:val="22"/>
        </w:rPr>
        <w:t>R = 1, N = 1,</w:t>
      </w:r>
      <w:r w:rsidRPr="009327D7">
        <w:rPr>
          <w:rFonts w:cs="Arial"/>
          <w:color w:val="262626"/>
          <w:sz w:val="22"/>
          <w:szCs w:val="22"/>
        </w:rPr>
        <w:t xml:space="preserve"> if the assay outcome is positive;</w:t>
      </w:r>
    </w:p>
    <w:p w14:paraId="0A58C76E" w14:textId="77777777" w:rsidR="009A394C" w:rsidRPr="009327D7" w:rsidRDefault="009A394C" w:rsidP="009327D7">
      <w:pPr>
        <w:widowControl w:val="0"/>
        <w:autoSpaceDE w:val="0"/>
        <w:autoSpaceDN w:val="0"/>
        <w:adjustRightInd w:val="0"/>
        <w:spacing w:before="120"/>
        <w:ind w:left="1080"/>
        <w:rPr>
          <w:rFonts w:cs="Arial"/>
          <w:color w:val="262626"/>
          <w:sz w:val="22"/>
          <w:szCs w:val="22"/>
        </w:rPr>
      </w:pPr>
      <w:r w:rsidRPr="009327D7">
        <w:rPr>
          <w:rFonts w:cs="Arial"/>
          <w:i/>
          <w:color w:val="262626"/>
          <w:sz w:val="22"/>
          <w:szCs w:val="22"/>
        </w:rPr>
        <w:t>R = 0, N = 1,</w:t>
      </w:r>
      <w:r w:rsidRPr="009327D7">
        <w:rPr>
          <w:rFonts w:cs="Arial"/>
          <w:color w:val="262626"/>
          <w:sz w:val="22"/>
          <w:szCs w:val="22"/>
        </w:rPr>
        <w:t xml:space="preserve"> if the assay outcome is negative.</w:t>
      </w:r>
    </w:p>
    <w:p w14:paraId="38D9A45E" w14:textId="4EE8374B" w:rsidR="00354D4D" w:rsidRPr="009327D7" w:rsidRDefault="00354D4D" w:rsidP="009327D7">
      <w:pPr>
        <w:spacing w:before="120"/>
        <w:ind w:left="360"/>
        <w:rPr>
          <w:sz w:val="22"/>
          <w:szCs w:val="22"/>
        </w:rPr>
      </w:pPr>
      <w:r w:rsidRPr="009327D7">
        <w:rPr>
          <w:sz w:val="22"/>
          <w:szCs w:val="22"/>
        </w:rPr>
        <w:t xml:space="preserve">Reporting CI instead of directly calculated RF </w:t>
      </w:r>
      <w:r w:rsidR="00A00ABD" w:rsidRPr="009327D7">
        <w:rPr>
          <w:b/>
          <w:i/>
          <w:sz w:val="22"/>
          <w:szCs w:val="22"/>
        </w:rPr>
        <w:t>(RF = R/N)</w:t>
      </w:r>
      <w:r w:rsidR="00A00ABD" w:rsidRPr="009327D7">
        <w:rPr>
          <w:sz w:val="22"/>
          <w:szCs w:val="22"/>
        </w:rPr>
        <w:t xml:space="preserve"> </w:t>
      </w:r>
      <w:r w:rsidRPr="009327D7">
        <w:rPr>
          <w:sz w:val="22"/>
          <w:szCs w:val="22"/>
        </w:rPr>
        <w:t xml:space="preserve">allows correcting for the sample size. Otherwise, </w:t>
      </w:r>
      <w:r w:rsidR="00A00ABD" w:rsidRPr="009327D7">
        <w:rPr>
          <w:rFonts w:cs="Arial"/>
          <w:color w:val="262626"/>
          <w:sz w:val="22"/>
          <w:szCs w:val="22"/>
        </w:rPr>
        <w:t>a peptide found to be positive in only one donor (</w:t>
      </w:r>
      <w:r w:rsidR="00A00ABD" w:rsidRPr="009327D7">
        <w:rPr>
          <w:rFonts w:cs="Arial"/>
          <w:i/>
          <w:color w:val="262626"/>
          <w:sz w:val="22"/>
          <w:szCs w:val="22"/>
        </w:rPr>
        <w:t>R=1; N=1</w:t>
      </w:r>
      <w:r w:rsidR="00A00ABD" w:rsidRPr="009327D7">
        <w:rPr>
          <w:rFonts w:cs="Arial"/>
          <w:color w:val="262626"/>
          <w:sz w:val="22"/>
          <w:szCs w:val="22"/>
        </w:rPr>
        <w:t>) would be considered more immunogenic than a peptide showing response in 99 out of 100 donors as the former has the RF score of 1.0 and the latter of 0.99. However CI will be very large in the former case, and small in the latter.</w:t>
      </w:r>
    </w:p>
    <w:p w14:paraId="35536A95" w14:textId="6383EB9F" w:rsidR="00354D4D" w:rsidRPr="009327D7" w:rsidRDefault="00354D4D" w:rsidP="009327D7">
      <w:pPr>
        <w:spacing w:before="120"/>
        <w:ind w:left="360"/>
        <w:rPr>
          <w:sz w:val="22"/>
          <w:szCs w:val="22"/>
        </w:rPr>
      </w:pPr>
      <w:r w:rsidRPr="009327D7">
        <w:rPr>
          <w:sz w:val="22"/>
          <w:szCs w:val="22"/>
        </w:rPr>
        <w:t xml:space="preserve">The 95% CI is a range of possible values that will contain the true RF value 95% of the times if the experiment (same epitopes &amp; assays) is repeated an infinite number of </w:t>
      </w:r>
      <w:r w:rsidR="009A394C" w:rsidRPr="009327D7">
        <w:rPr>
          <w:sz w:val="22"/>
          <w:szCs w:val="22"/>
        </w:rPr>
        <w:t xml:space="preserve">times under the same conditions, assuming that </w:t>
      </w:r>
      <w:r w:rsidR="009A394C" w:rsidRPr="009327D7">
        <w:rPr>
          <w:rFonts w:cs="Arial"/>
          <w:color w:val="262626"/>
          <w:sz w:val="22"/>
          <w:szCs w:val="22"/>
        </w:rPr>
        <w:t xml:space="preserve">the statistical distribution of outcomes of either a B- or T-cell assay can be approximated by the binomial distribution as, in general, the following conditions of experiments are satisfied: (1) an assay is repeated for a fixed number </w:t>
      </w:r>
      <w:r w:rsidR="009A394C" w:rsidRPr="009327D7">
        <w:rPr>
          <w:rFonts w:cs="Arial"/>
          <w:i/>
          <w:color w:val="262626"/>
          <w:sz w:val="22"/>
          <w:szCs w:val="22"/>
        </w:rPr>
        <w:t xml:space="preserve">N </w:t>
      </w:r>
      <w:r w:rsidR="009A394C" w:rsidRPr="009327D7">
        <w:rPr>
          <w:rFonts w:cs="Arial"/>
          <w:color w:val="262626"/>
          <w:sz w:val="22"/>
          <w:szCs w:val="22"/>
        </w:rPr>
        <w:t xml:space="preserve">of tested subjects; (2) each tested subject can show only two possible outcomes (response or no response); (3) </w:t>
      </w:r>
      <w:r w:rsidR="009A394C" w:rsidRPr="009327D7">
        <w:rPr>
          <w:rFonts w:cs="Arial"/>
          <w:color w:val="1C1C1C"/>
          <w:sz w:val="22"/>
          <w:szCs w:val="22"/>
        </w:rPr>
        <w:t xml:space="preserve">the probability of response, or no response, is the same for each subject; and (4) the subjects are statistically independent (see </w:t>
      </w:r>
      <w:hyperlink r:id="rId16" w:history="1">
        <w:r w:rsidR="009A394C" w:rsidRPr="009327D7">
          <w:rPr>
            <w:rStyle w:val="Hyperlink"/>
            <w:rFonts w:cs="Arial"/>
            <w:sz w:val="22"/>
            <w:szCs w:val="22"/>
          </w:rPr>
          <w:t>http://en.wikipedia.org/wiki/Binomial_distribution</w:t>
        </w:r>
      </w:hyperlink>
      <w:r w:rsidR="009A394C" w:rsidRPr="009327D7">
        <w:rPr>
          <w:rFonts w:cs="Arial"/>
          <w:color w:val="1C1C1C"/>
          <w:sz w:val="22"/>
          <w:szCs w:val="22"/>
        </w:rPr>
        <w:t xml:space="preserve"> )</w:t>
      </w:r>
      <w:r w:rsidR="009A394C" w:rsidRPr="009327D7">
        <w:rPr>
          <w:rFonts w:cs="Arial"/>
          <w:color w:val="262626"/>
          <w:sz w:val="22"/>
          <w:szCs w:val="22"/>
        </w:rPr>
        <w:t xml:space="preserve">. </w:t>
      </w:r>
      <w:r w:rsidRPr="009327D7">
        <w:rPr>
          <w:sz w:val="22"/>
          <w:szCs w:val="22"/>
        </w:rPr>
        <w:t xml:space="preserve"> </w:t>
      </w:r>
    </w:p>
    <w:p w14:paraId="08E1CD25" w14:textId="77777777" w:rsidR="009A394C" w:rsidRPr="009327D7" w:rsidRDefault="009A394C" w:rsidP="009327D7">
      <w:pPr>
        <w:spacing w:before="120"/>
        <w:ind w:left="360"/>
        <w:rPr>
          <w:sz w:val="22"/>
          <w:szCs w:val="22"/>
        </w:rPr>
      </w:pPr>
      <w:r w:rsidRPr="009327D7">
        <w:rPr>
          <w:sz w:val="22"/>
          <w:szCs w:val="22"/>
        </w:rPr>
        <w:t>CI (light pink area on the upper plot) ranges from 0 to 1.0.</w:t>
      </w:r>
    </w:p>
    <w:p w14:paraId="574D4ECC" w14:textId="15D955A7" w:rsidR="009A394C" w:rsidRPr="009327D7" w:rsidRDefault="009A394C" w:rsidP="009327D7">
      <w:pPr>
        <w:spacing w:before="120"/>
        <w:ind w:left="360"/>
        <w:rPr>
          <w:rFonts w:cs="Arial"/>
          <w:sz w:val="22"/>
          <w:szCs w:val="22"/>
        </w:rPr>
      </w:pPr>
      <w:r w:rsidRPr="009327D7">
        <w:rPr>
          <w:sz w:val="22"/>
          <w:szCs w:val="22"/>
        </w:rPr>
        <w:t>G</w:t>
      </w:r>
      <w:r w:rsidR="00354D4D" w:rsidRPr="009327D7">
        <w:rPr>
          <w:sz w:val="22"/>
          <w:szCs w:val="22"/>
        </w:rPr>
        <w:t xml:space="preserve">iven the observed RF score, </w:t>
      </w:r>
      <w:r w:rsidRPr="009327D7">
        <w:rPr>
          <w:sz w:val="22"/>
          <w:szCs w:val="22"/>
        </w:rPr>
        <w:t xml:space="preserve">which is binomially distributed, </w:t>
      </w:r>
      <w:r w:rsidR="00354D4D" w:rsidRPr="009327D7">
        <w:rPr>
          <w:sz w:val="22"/>
          <w:szCs w:val="22"/>
        </w:rPr>
        <w:t>it is possible to estimate</w:t>
      </w:r>
      <w:r w:rsidR="009327D7">
        <w:rPr>
          <w:sz w:val="22"/>
          <w:szCs w:val="22"/>
        </w:rPr>
        <w:t xml:space="preserve"> the 95% CI for the true RF.   </w:t>
      </w:r>
      <w:r w:rsidRPr="009327D7">
        <w:rPr>
          <w:rFonts w:cs="Arial"/>
          <w:color w:val="1C1C1C"/>
          <w:sz w:val="22"/>
          <w:szCs w:val="22"/>
        </w:rPr>
        <w:t xml:space="preserve">There are several ways to compute a confidence interval for a binomial proportion (see </w:t>
      </w:r>
      <w:hyperlink r:id="rId17" w:history="1">
        <w:r w:rsidRPr="009327D7">
          <w:rPr>
            <w:rStyle w:val="Hyperlink"/>
            <w:rFonts w:cs="Arial"/>
            <w:sz w:val="22"/>
            <w:szCs w:val="22"/>
          </w:rPr>
          <w:t>http://en.wikipedia.org/wiki/Binomial_proportion_confidence_interval</w:t>
        </w:r>
      </w:hyperlink>
      <w:r w:rsidRPr="009327D7">
        <w:rPr>
          <w:rFonts w:cs="Arial"/>
          <w:color w:val="262626"/>
          <w:sz w:val="22"/>
          <w:szCs w:val="22"/>
        </w:rPr>
        <w:t xml:space="preserve">). </w:t>
      </w:r>
      <w:r w:rsidRPr="009327D7">
        <w:rPr>
          <w:rFonts w:cs="Arial"/>
          <w:color w:val="1C1C1C"/>
          <w:sz w:val="22"/>
          <w:szCs w:val="22"/>
        </w:rPr>
        <w:t xml:space="preserve">One of the </w:t>
      </w:r>
      <w:r w:rsidR="009327D7">
        <w:rPr>
          <w:rFonts w:cs="Arial"/>
          <w:color w:val="1C1C1C"/>
          <w:sz w:val="22"/>
          <w:szCs w:val="22"/>
        </w:rPr>
        <w:t xml:space="preserve">widely used formulas </w:t>
      </w:r>
      <w:r w:rsidRPr="009327D7">
        <w:rPr>
          <w:rFonts w:cs="Arial"/>
          <w:color w:val="1C1C1C"/>
          <w:sz w:val="22"/>
          <w:szCs w:val="22"/>
        </w:rPr>
        <w:t xml:space="preserve">is the Wilson score interval: </w:t>
      </w:r>
    </w:p>
    <w:p w14:paraId="3E12A294" w14:textId="77777777" w:rsidR="009A394C" w:rsidRPr="009327D7" w:rsidRDefault="009A394C" w:rsidP="009327D7">
      <w:pPr>
        <w:spacing w:before="120"/>
        <w:ind w:left="360"/>
        <w:rPr>
          <w:rFonts w:eastAsia="Times New Roman" w:cs="Arial"/>
          <w:sz w:val="22"/>
          <w:szCs w:val="22"/>
        </w:rPr>
      </w:pPr>
    </w:p>
    <w:p w14:paraId="6BF3CAC0" w14:textId="77777777" w:rsidR="009A394C" w:rsidRPr="009327D7" w:rsidRDefault="009A394C" w:rsidP="009327D7">
      <w:pPr>
        <w:spacing w:before="120"/>
        <w:ind w:left="360"/>
        <w:rPr>
          <w:rFonts w:cs="Arial"/>
          <w:sz w:val="22"/>
          <w:szCs w:val="22"/>
        </w:rPr>
      </w:pPr>
      <w:r w:rsidRPr="009327D7">
        <w:rPr>
          <w:noProof/>
          <w:sz w:val="22"/>
          <w:szCs w:val="22"/>
        </w:rPr>
        <w:drawing>
          <wp:inline distT="0" distB="0" distL="0" distR="0" wp14:anchorId="61398CC3" wp14:editId="77D9FC17">
            <wp:extent cx="3429000" cy="553357"/>
            <wp:effectExtent l="0" t="0" r="0" b="5715"/>
            <wp:docPr id="7" name="Picture 7" descr="  \frac{1}{1 + \frac{1}{n} z^2}&#10;  \left[&#10;    \hat p + \frac{1}{2n} z^2 \pm&#10;    z \sqrt{&#10;      \frac{1}{n}\hat p \left(1 - \hat p\right) +&#10;      \frac{1}{4n^2}z^2&#10;    } &#10;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frac{1}{1 + \frac{1}{n} z^2}&#10;  \left[&#10;    \hat p + \frac{1}{2n} z^2 \pm&#10;    z \sqrt{&#10;      \frac{1}{n}\hat p \left(1 - \hat p\right) +&#10;      \frac{1}{4n^2}z^2&#10;    } &#10;   \right]&#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1150" cy="553704"/>
                    </a:xfrm>
                    <a:prstGeom prst="rect">
                      <a:avLst/>
                    </a:prstGeom>
                    <a:noFill/>
                    <a:ln>
                      <a:noFill/>
                    </a:ln>
                  </pic:spPr>
                </pic:pic>
              </a:graphicData>
            </a:graphic>
          </wp:inline>
        </w:drawing>
      </w:r>
    </w:p>
    <w:p w14:paraId="02B6106E" w14:textId="77777777" w:rsidR="009A394C" w:rsidRPr="009327D7" w:rsidRDefault="009A394C" w:rsidP="009327D7">
      <w:pPr>
        <w:spacing w:before="120"/>
        <w:ind w:left="360"/>
        <w:rPr>
          <w:rFonts w:eastAsia="Times New Roman" w:cs="Arial"/>
          <w:color w:val="000000"/>
          <w:sz w:val="22"/>
          <w:szCs w:val="22"/>
        </w:rPr>
      </w:pPr>
    </w:p>
    <w:p w14:paraId="24200A4F" w14:textId="77777777" w:rsidR="009A394C" w:rsidRPr="009327D7" w:rsidRDefault="009A394C" w:rsidP="009327D7">
      <w:pPr>
        <w:spacing w:before="120"/>
        <w:ind w:left="360"/>
        <w:rPr>
          <w:rFonts w:eastAsia="Times New Roman" w:cs="Arial"/>
          <w:color w:val="000000"/>
          <w:sz w:val="22"/>
          <w:szCs w:val="22"/>
        </w:rPr>
      </w:pPr>
      <w:r w:rsidRPr="009327D7">
        <w:rPr>
          <w:rFonts w:eastAsia="Times New Roman" w:cs="Arial"/>
          <w:color w:val="000000"/>
          <w:sz w:val="22"/>
          <w:szCs w:val="22"/>
        </w:rPr>
        <w:t xml:space="preserve">where </w:t>
      </w:r>
      <w:r w:rsidRPr="009327D7">
        <w:rPr>
          <w:rFonts w:eastAsia="Times New Roman" w:cs="Arial"/>
          <w:i/>
          <w:color w:val="000000"/>
          <w:sz w:val="22"/>
          <w:szCs w:val="22"/>
        </w:rPr>
        <w:t>n</w:t>
      </w:r>
      <w:r w:rsidRPr="009327D7">
        <w:rPr>
          <w:rFonts w:eastAsia="Times New Roman" w:cs="Arial"/>
          <w:color w:val="000000"/>
          <w:sz w:val="22"/>
          <w:szCs w:val="22"/>
        </w:rPr>
        <w:t xml:space="preserve"> is the number of tested subjects (</w:t>
      </w:r>
      <w:r w:rsidRPr="009327D7">
        <w:rPr>
          <w:rFonts w:eastAsia="Times New Roman" w:cs="Arial"/>
          <w:i/>
          <w:color w:val="000000"/>
          <w:sz w:val="22"/>
          <w:szCs w:val="22"/>
        </w:rPr>
        <w:t>N</w:t>
      </w:r>
      <w:r w:rsidRPr="009327D7">
        <w:rPr>
          <w:rFonts w:eastAsia="Times New Roman" w:cs="Arial"/>
          <w:color w:val="000000"/>
          <w:sz w:val="22"/>
          <w:szCs w:val="22"/>
        </w:rPr>
        <w:t xml:space="preserve">); </w:t>
      </w:r>
      <w:r w:rsidRPr="009327D7">
        <w:rPr>
          <w:rFonts w:eastAsia="Times New Roman" w:cs="Arial"/>
          <w:i/>
          <w:color w:val="000000"/>
          <w:sz w:val="22"/>
          <w:szCs w:val="22"/>
        </w:rPr>
        <w:t>p</w:t>
      </w:r>
      <w:r w:rsidRPr="009327D7">
        <w:rPr>
          <w:rFonts w:eastAsia="Times New Roman" w:cs="Arial"/>
          <w:color w:val="000000"/>
          <w:sz w:val="22"/>
          <w:szCs w:val="22"/>
        </w:rPr>
        <w:t xml:space="preserve"> is the number of responded subjects divided by the number of tested (</w:t>
      </w:r>
      <w:r w:rsidRPr="009327D7">
        <w:rPr>
          <w:rFonts w:eastAsia="Times New Roman" w:cs="Arial"/>
          <w:i/>
          <w:color w:val="000000"/>
          <w:sz w:val="22"/>
          <w:szCs w:val="22"/>
        </w:rPr>
        <w:t>R/N</w:t>
      </w:r>
      <w:r w:rsidRPr="009327D7">
        <w:rPr>
          <w:rFonts w:eastAsia="Times New Roman" w:cs="Arial"/>
          <w:color w:val="000000"/>
          <w:sz w:val="22"/>
          <w:szCs w:val="22"/>
        </w:rPr>
        <w:t xml:space="preserve">); and </w:t>
      </w:r>
      <w:r w:rsidRPr="009327D7">
        <w:rPr>
          <w:rFonts w:eastAsia="Times New Roman" w:cs="Arial"/>
          <w:i/>
          <w:color w:val="000000"/>
          <w:sz w:val="22"/>
          <w:szCs w:val="22"/>
        </w:rPr>
        <w:t>z</w:t>
      </w:r>
      <w:r w:rsidRPr="009327D7">
        <w:rPr>
          <w:rFonts w:eastAsia="Times New Roman" w:cs="Arial"/>
          <w:color w:val="000000"/>
          <w:sz w:val="22"/>
          <w:szCs w:val="22"/>
        </w:rPr>
        <w:t xml:space="preserve"> is the </w:t>
      </w:r>
      <w:r w:rsidRPr="009327D7">
        <w:rPr>
          <w:rFonts w:eastAsia="Times New Roman" w:cs="Arial"/>
          <w:i/>
          <w:color w:val="000000"/>
          <w:sz w:val="22"/>
          <w:szCs w:val="22"/>
        </w:rPr>
        <w:t>(1-½</w:t>
      </w:r>
      <w:r w:rsidRPr="009327D7">
        <w:rPr>
          <w:rFonts w:ascii="STIXGeneral-Regular" w:eastAsia="Times New Roman" w:hAnsi="STIXGeneral-Regular" w:cs="STIXGeneral-Regular"/>
          <w:i/>
          <w:color w:val="000000"/>
          <w:sz w:val="22"/>
          <w:szCs w:val="22"/>
        </w:rPr>
        <w:t>𝛂</w:t>
      </w:r>
      <w:r w:rsidRPr="009327D7">
        <w:rPr>
          <w:rFonts w:eastAsia="Times New Roman" w:cs="Arial"/>
          <w:i/>
          <w:color w:val="000000"/>
          <w:sz w:val="22"/>
          <w:szCs w:val="22"/>
        </w:rPr>
        <w:t>)</w:t>
      </w:r>
      <w:r w:rsidRPr="009327D7">
        <w:rPr>
          <w:rFonts w:eastAsia="Times New Roman" w:cs="Arial"/>
          <w:color w:val="000000"/>
          <w:sz w:val="22"/>
          <w:szCs w:val="22"/>
        </w:rPr>
        <w:t xml:space="preserve"> percentile of a standard normal distribution; for a 95% confidence interval (an error level </w:t>
      </w:r>
      <w:r w:rsidRPr="009327D7">
        <w:rPr>
          <w:rFonts w:ascii="STIXGeneral-Regular" w:eastAsia="Times New Roman" w:hAnsi="STIXGeneral-Regular" w:cs="STIXGeneral-Regular"/>
          <w:color w:val="000000"/>
          <w:sz w:val="22"/>
          <w:szCs w:val="22"/>
        </w:rPr>
        <w:t>𝛂</w:t>
      </w:r>
      <w:r w:rsidRPr="009327D7">
        <w:rPr>
          <w:rFonts w:eastAsia="Times New Roman" w:cs="Arial"/>
          <w:color w:val="000000"/>
          <w:sz w:val="22"/>
          <w:szCs w:val="22"/>
        </w:rPr>
        <w:t xml:space="preserve"> = 0.05), </w:t>
      </w:r>
      <w:r w:rsidRPr="009327D7">
        <w:rPr>
          <w:rFonts w:eastAsia="Times New Roman" w:cs="Arial"/>
          <w:i/>
          <w:color w:val="000000"/>
          <w:sz w:val="22"/>
          <w:szCs w:val="22"/>
        </w:rPr>
        <w:t>z</w:t>
      </w:r>
      <w:r w:rsidRPr="009327D7">
        <w:rPr>
          <w:rFonts w:eastAsia="Times New Roman" w:cs="Arial"/>
          <w:color w:val="000000"/>
          <w:sz w:val="22"/>
          <w:szCs w:val="22"/>
        </w:rPr>
        <w:t xml:space="preserve"> = 1.96. In this formula, the upper bound for the CI is calculated using the sign ‘+’, and the lower bound, using the sign ‘-‘. </w:t>
      </w:r>
      <w:r w:rsidRPr="009327D7">
        <w:rPr>
          <w:rFonts w:cs="Arial"/>
          <w:sz w:val="22"/>
          <w:szCs w:val="22"/>
        </w:rPr>
        <w:t>The Wilson score interval is </w:t>
      </w:r>
      <w:r w:rsidRPr="009327D7">
        <w:rPr>
          <w:rFonts w:cs="Arial"/>
          <w:bCs/>
          <w:sz w:val="22"/>
          <w:szCs w:val="22"/>
        </w:rPr>
        <w:t>asymmetric</w:t>
      </w:r>
      <w:r w:rsidRPr="009327D7">
        <w:rPr>
          <w:rFonts w:cs="Arial"/>
          <w:sz w:val="22"/>
          <w:szCs w:val="22"/>
        </w:rPr>
        <w:t> unless </w:t>
      </w:r>
      <w:r w:rsidRPr="009327D7">
        <w:rPr>
          <w:rFonts w:cs="Arial"/>
          <w:i/>
          <w:iCs/>
          <w:sz w:val="22"/>
          <w:szCs w:val="22"/>
        </w:rPr>
        <w:t>p</w:t>
      </w:r>
      <w:r w:rsidRPr="009327D7">
        <w:rPr>
          <w:rFonts w:cs="Arial"/>
          <w:sz w:val="22"/>
          <w:szCs w:val="22"/>
        </w:rPr>
        <w:t xml:space="preserve">=0.5. </w:t>
      </w:r>
    </w:p>
    <w:p w14:paraId="4DB7A3E9" w14:textId="77777777" w:rsidR="009327D7" w:rsidRPr="009327D7" w:rsidRDefault="009A394C" w:rsidP="009327D7">
      <w:pPr>
        <w:widowControl w:val="0"/>
        <w:autoSpaceDE w:val="0"/>
        <w:autoSpaceDN w:val="0"/>
        <w:adjustRightInd w:val="0"/>
        <w:spacing w:before="120"/>
        <w:ind w:left="360"/>
        <w:rPr>
          <w:rFonts w:cs="Calibri"/>
          <w:sz w:val="22"/>
          <w:szCs w:val="22"/>
        </w:rPr>
      </w:pPr>
      <w:r w:rsidRPr="009327D7">
        <w:rPr>
          <w:rFonts w:eastAsia="Times New Roman" w:cs="Arial"/>
          <w:color w:val="000000"/>
          <w:sz w:val="22"/>
          <w:szCs w:val="22"/>
        </w:rPr>
        <w:t xml:space="preserve">It was shown that for small sample size </w:t>
      </w:r>
      <w:r w:rsidRPr="009327D7">
        <w:rPr>
          <w:rFonts w:eastAsia="Times New Roman" w:cs="Arial"/>
          <w:i/>
          <w:color w:val="000000"/>
          <w:sz w:val="22"/>
          <w:szCs w:val="22"/>
        </w:rPr>
        <w:t>n</w:t>
      </w:r>
      <w:r w:rsidRPr="009327D7">
        <w:rPr>
          <w:rFonts w:eastAsia="Times New Roman" w:cs="Arial"/>
          <w:color w:val="000000"/>
          <w:sz w:val="22"/>
          <w:szCs w:val="22"/>
        </w:rPr>
        <w:t xml:space="preserve"> (or </w:t>
      </w:r>
      <w:r w:rsidRPr="009327D7">
        <w:rPr>
          <w:rFonts w:eastAsia="Times New Roman" w:cs="Arial"/>
          <w:i/>
          <w:color w:val="000000"/>
          <w:sz w:val="22"/>
          <w:szCs w:val="22"/>
        </w:rPr>
        <w:t>N</w:t>
      </w:r>
      <w:r w:rsidRPr="009327D7">
        <w:rPr>
          <w:rFonts w:eastAsia="Times New Roman" w:cs="Arial"/>
          <w:color w:val="000000"/>
          <w:sz w:val="22"/>
          <w:szCs w:val="22"/>
        </w:rPr>
        <w:t>, the number of tested subjects) the Wilson interval underestimates the error (</w:t>
      </w:r>
      <w:hyperlink r:id="rId19" w:history="1">
        <w:r w:rsidRPr="009327D7">
          <w:rPr>
            <w:rStyle w:val="Hyperlink"/>
            <w:rFonts w:eastAsia="Times New Roman" w:cs="Arial"/>
            <w:sz w:val="22"/>
            <w:szCs w:val="22"/>
          </w:rPr>
          <w:t>http://www.ucl.ac.uk/english-</w:t>
        </w:r>
        <w:r w:rsidRPr="009327D7">
          <w:rPr>
            <w:rStyle w:val="Hyperlink"/>
            <w:rFonts w:eastAsia="Times New Roman" w:cs="Arial"/>
            <w:sz w:val="22"/>
            <w:szCs w:val="22"/>
          </w:rPr>
          <w:lastRenderedPageBreak/>
          <w:t>usage/staff/sean/resources/binomialpoisson.pdf</w:t>
        </w:r>
      </w:hyperlink>
      <w:r w:rsidRPr="009327D7">
        <w:rPr>
          <w:rFonts w:eastAsia="Times New Roman" w:cs="Arial"/>
          <w:color w:val="000000"/>
          <w:sz w:val="22"/>
          <w:szCs w:val="22"/>
        </w:rPr>
        <w:t xml:space="preserve"> ) and a continuity-corrected version </w:t>
      </w:r>
      <w:r w:rsidRPr="009327D7">
        <w:rPr>
          <w:rFonts w:eastAsia="Times New Roman" w:cs="Arial"/>
          <w:sz w:val="22"/>
          <w:szCs w:val="22"/>
        </w:rPr>
        <w:t xml:space="preserve">of the Wilson interval is suggested. Therefore, </w:t>
      </w:r>
      <w:r w:rsidRPr="00D26D6B">
        <w:rPr>
          <w:rFonts w:eastAsia="Times New Roman" w:cs="Arial"/>
          <w:b/>
          <w:sz w:val="22"/>
          <w:szCs w:val="22"/>
        </w:rPr>
        <w:t>the Wilson score interval was used for N&gt;=50</w:t>
      </w:r>
      <w:r w:rsidRPr="009327D7">
        <w:rPr>
          <w:rFonts w:eastAsia="Times New Roman" w:cs="Arial"/>
          <w:sz w:val="22"/>
          <w:szCs w:val="22"/>
        </w:rPr>
        <w:t xml:space="preserve">, and </w:t>
      </w:r>
      <w:r w:rsidR="009327D7" w:rsidRPr="009327D7">
        <w:rPr>
          <w:rFonts w:eastAsia="Times New Roman" w:cs="Arial"/>
          <w:sz w:val="22"/>
          <w:szCs w:val="22"/>
        </w:rPr>
        <w:t>the l</w:t>
      </w:r>
      <w:r w:rsidR="009327D7" w:rsidRPr="009327D7">
        <w:rPr>
          <w:rFonts w:cs="Calibri"/>
          <w:sz w:val="22"/>
          <w:szCs w:val="22"/>
        </w:rPr>
        <w:t xml:space="preserve">ower bound of 95% CI was calculated as: </w:t>
      </w:r>
    </w:p>
    <w:p w14:paraId="48511322" w14:textId="77777777" w:rsidR="009327D7" w:rsidRPr="009327D7" w:rsidRDefault="009327D7" w:rsidP="009327D7">
      <w:pPr>
        <w:widowControl w:val="0"/>
        <w:autoSpaceDE w:val="0"/>
        <w:autoSpaceDN w:val="0"/>
        <w:adjustRightInd w:val="0"/>
        <w:spacing w:before="120"/>
        <w:ind w:left="360"/>
        <w:rPr>
          <w:rFonts w:cs="Calibri"/>
          <w:sz w:val="22"/>
          <w:szCs w:val="22"/>
        </w:rPr>
      </w:pPr>
      <w:r w:rsidRPr="009327D7">
        <w:rPr>
          <w:rFonts w:cs="Calibri"/>
          <w:sz w:val="22"/>
          <w:szCs w:val="22"/>
        </w:rPr>
        <w:t>(((R/N) + 1.96*1.96</w:t>
      </w:r>
      <w:proofErr w:type="gramStart"/>
      <w:r w:rsidRPr="009327D7">
        <w:rPr>
          <w:rFonts w:cs="Calibri"/>
          <w:sz w:val="22"/>
          <w:szCs w:val="22"/>
        </w:rPr>
        <w:t>/(</w:t>
      </w:r>
      <w:proofErr w:type="gramEnd"/>
      <w:r w:rsidRPr="009327D7">
        <w:rPr>
          <w:rFonts w:cs="Calibri"/>
          <w:sz w:val="22"/>
          <w:szCs w:val="22"/>
        </w:rPr>
        <w:t xml:space="preserve">2*N) - 1.96 * </w:t>
      </w:r>
      <w:proofErr w:type="spellStart"/>
      <w:r w:rsidRPr="009327D7">
        <w:rPr>
          <w:rFonts w:cs="Calibri"/>
          <w:sz w:val="22"/>
          <w:szCs w:val="22"/>
        </w:rPr>
        <w:t>sqrt</w:t>
      </w:r>
      <w:proofErr w:type="spellEnd"/>
      <w:r w:rsidRPr="009327D7">
        <w:rPr>
          <w:rFonts w:cs="Calibri"/>
          <w:sz w:val="22"/>
          <w:szCs w:val="22"/>
        </w:rPr>
        <w:t xml:space="preserve">(((R/N)*(1-(R/N))+1.96*1.96/(4*N))/N))/(1+1.96*1.96/N)); </w:t>
      </w:r>
    </w:p>
    <w:p w14:paraId="69484913" w14:textId="77777777" w:rsidR="009327D7" w:rsidRPr="009327D7" w:rsidRDefault="009327D7" w:rsidP="009327D7">
      <w:pPr>
        <w:widowControl w:val="0"/>
        <w:autoSpaceDE w:val="0"/>
        <w:autoSpaceDN w:val="0"/>
        <w:adjustRightInd w:val="0"/>
        <w:spacing w:before="120"/>
        <w:ind w:left="360"/>
        <w:rPr>
          <w:rFonts w:cs="Calibri"/>
          <w:sz w:val="22"/>
          <w:szCs w:val="22"/>
        </w:rPr>
      </w:pPr>
      <w:proofErr w:type="gramStart"/>
      <w:r w:rsidRPr="009327D7">
        <w:rPr>
          <w:rFonts w:cs="Calibri"/>
          <w:sz w:val="22"/>
          <w:szCs w:val="22"/>
        </w:rPr>
        <w:t>while</w:t>
      </w:r>
      <w:proofErr w:type="gramEnd"/>
      <w:r w:rsidRPr="009327D7">
        <w:rPr>
          <w:rFonts w:cs="Calibri"/>
          <w:sz w:val="22"/>
          <w:szCs w:val="22"/>
        </w:rPr>
        <w:t xml:space="preserve">, the upper bound as: </w:t>
      </w:r>
    </w:p>
    <w:p w14:paraId="4070DBCA" w14:textId="6AC74B34" w:rsidR="009327D7" w:rsidRPr="009327D7" w:rsidRDefault="00CF2066" w:rsidP="009327D7">
      <w:pPr>
        <w:widowControl w:val="0"/>
        <w:autoSpaceDE w:val="0"/>
        <w:autoSpaceDN w:val="0"/>
        <w:adjustRightInd w:val="0"/>
        <w:spacing w:before="120"/>
        <w:ind w:left="360"/>
        <w:rPr>
          <w:rFonts w:cs="Helvetica"/>
          <w:sz w:val="22"/>
          <w:szCs w:val="22"/>
        </w:rPr>
      </w:pPr>
      <w:r>
        <w:rPr>
          <w:rFonts w:cs="Calibri"/>
          <w:sz w:val="22"/>
          <w:szCs w:val="22"/>
        </w:rPr>
        <w:t>(((R/N) + 1.96*1.96</w:t>
      </w:r>
      <w:proofErr w:type="gramStart"/>
      <w:r>
        <w:rPr>
          <w:rFonts w:cs="Calibri"/>
          <w:sz w:val="22"/>
          <w:szCs w:val="22"/>
        </w:rPr>
        <w:t>/(</w:t>
      </w:r>
      <w:proofErr w:type="gramEnd"/>
      <w:r>
        <w:rPr>
          <w:rFonts w:cs="Calibri"/>
          <w:sz w:val="22"/>
          <w:szCs w:val="22"/>
        </w:rPr>
        <w:t>2*N) +</w:t>
      </w:r>
      <w:r w:rsidR="009327D7" w:rsidRPr="009327D7">
        <w:rPr>
          <w:rFonts w:cs="Calibri"/>
          <w:sz w:val="22"/>
          <w:szCs w:val="22"/>
        </w:rPr>
        <w:t xml:space="preserve"> 1.96 * </w:t>
      </w:r>
      <w:proofErr w:type="spellStart"/>
      <w:r w:rsidR="009327D7" w:rsidRPr="009327D7">
        <w:rPr>
          <w:rFonts w:cs="Calibri"/>
          <w:sz w:val="22"/>
          <w:szCs w:val="22"/>
        </w:rPr>
        <w:t>sqrt</w:t>
      </w:r>
      <w:proofErr w:type="spellEnd"/>
      <w:r w:rsidR="009327D7" w:rsidRPr="009327D7">
        <w:rPr>
          <w:rFonts w:cs="Calibri"/>
          <w:sz w:val="22"/>
          <w:szCs w:val="22"/>
        </w:rPr>
        <w:t>(((R/N)*(1-(R/N))+1.96*1.96/(4*N))/N))/(1+1.96*1.96/N))</w:t>
      </w:r>
    </w:p>
    <w:p w14:paraId="4E3629C9" w14:textId="77777777" w:rsidR="006E67C4" w:rsidRDefault="006E67C4" w:rsidP="009327D7">
      <w:pPr>
        <w:spacing w:before="120"/>
        <w:ind w:left="360"/>
        <w:rPr>
          <w:rFonts w:eastAsia="Times New Roman" w:cs="Arial"/>
          <w:b/>
          <w:color w:val="000000"/>
          <w:sz w:val="22"/>
          <w:szCs w:val="22"/>
        </w:rPr>
      </w:pPr>
    </w:p>
    <w:p w14:paraId="223916E5" w14:textId="61D44405" w:rsidR="009A394C" w:rsidRPr="00D26D6B" w:rsidRDefault="009A394C" w:rsidP="009327D7">
      <w:pPr>
        <w:spacing w:before="120"/>
        <w:ind w:left="360"/>
        <w:rPr>
          <w:rFonts w:cs="Arial"/>
          <w:b/>
          <w:color w:val="262626"/>
          <w:sz w:val="22"/>
          <w:szCs w:val="22"/>
        </w:rPr>
      </w:pPr>
      <w:r w:rsidRPr="00D26D6B">
        <w:rPr>
          <w:rFonts w:eastAsia="Times New Roman" w:cs="Arial"/>
          <w:b/>
          <w:color w:val="000000"/>
          <w:sz w:val="22"/>
          <w:szCs w:val="22"/>
        </w:rPr>
        <w:t xml:space="preserve">For N&lt;50, </w:t>
      </w:r>
      <w:r w:rsidR="00D26D6B" w:rsidRPr="00D26D6B">
        <w:rPr>
          <w:rFonts w:eastAsia="Times New Roman" w:cs="Arial"/>
          <w:b/>
          <w:color w:val="000000"/>
          <w:sz w:val="22"/>
          <w:szCs w:val="22"/>
        </w:rPr>
        <w:t xml:space="preserve">we calculate the approximations for CI directly based on the binomial cumulative distribution function. </w:t>
      </w:r>
    </w:p>
    <w:p w14:paraId="033021C4" w14:textId="77777777" w:rsidR="009A394C" w:rsidRPr="009327D7" w:rsidRDefault="009A394C" w:rsidP="009327D7">
      <w:pPr>
        <w:widowControl w:val="0"/>
        <w:autoSpaceDE w:val="0"/>
        <w:autoSpaceDN w:val="0"/>
        <w:adjustRightInd w:val="0"/>
        <w:spacing w:before="120"/>
        <w:ind w:left="360"/>
        <w:rPr>
          <w:rFonts w:cs="Arial"/>
          <w:color w:val="262626"/>
          <w:sz w:val="22"/>
          <w:szCs w:val="22"/>
        </w:rPr>
      </w:pPr>
    </w:p>
    <w:p w14:paraId="688C161F" w14:textId="77777777" w:rsidR="009A394C" w:rsidRPr="009327D7" w:rsidRDefault="009A394C" w:rsidP="009327D7">
      <w:pPr>
        <w:spacing w:before="120"/>
        <w:ind w:left="360"/>
        <w:rPr>
          <w:rFonts w:cs="Arial"/>
          <w:sz w:val="22"/>
          <w:szCs w:val="22"/>
        </w:rPr>
      </w:pPr>
    </w:p>
    <w:p w14:paraId="6A5E7809" w14:textId="77777777" w:rsidR="009A394C" w:rsidRPr="009327D7" w:rsidRDefault="009A394C" w:rsidP="009327D7">
      <w:pPr>
        <w:spacing w:before="120"/>
        <w:ind w:left="360"/>
        <w:rPr>
          <w:sz w:val="22"/>
          <w:szCs w:val="22"/>
        </w:rPr>
      </w:pPr>
    </w:p>
    <w:p w14:paraId="089FFDF0" w14:textId="77777777" w:rsidR="00354D4D" w:rsidRPr="00354D4D" w:rsidRDefault="00354D4D" w:rsidP="009327D7">
      <w:pPr>
        <w:spacing w:before="120"/>
        <w:rPr>
          <w:sz w:val="22"/>
        </w:rPr>
      </w:pPr>
    </w:p>
    <w:sectPr w:rsidR="00354D4D" w:rsidRPr="00354D4D" w:rsidSect="00613C6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TIXGeneral-Regular">
    <w:altName w:val="Times New Roman"/>
    <w:charset w:val="00"/>
    <w:family w:val="auto"/>
    <w:pitch w:val="variable"/>
    <w:sig w:usb0="00000000" w:usb1="4203FDFF" w:usb2="02000020" w:usb3="00000000" w:csb0="8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12397"/>
    <w:multiLevelType w:val="hybridMultilevel"/>
    <w:tmpl w:val="1AF81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307312"/>
    <w:multiLevelType w:val="hybridMultilevel"/>
    <w:tmpl w:val="8B4A3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4DE388B"/>
    <w:multiLevelType w:val="hybridMultilevel"/>
    <w:tmpl w:val="CDBE90E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6733E3"/>
    <w:multiLevelType w:val="hybridMultilevel"/>
    <w:tmpl w:val="7A98B4F0"/>
    <w:lvl w:ilvl="0" w:tplc="F6B66EAC">
      <w:start w:val="1"/>
      <w:numFmt w:val="bullet"/>
      <w:lvlText w:val="•"/>
      <w:lvlJc w:val="left"/>
      <w:pPr>
        <w:tabs>
          <w:tab w:val="num" w:pos="720"/>
        </w:tabs>
        <w:ind w:left="720" w:hanging="360"/>
      </w:pPr>
      <w:rPr>
        <w:rFonts w:ascii="Arial" w:hAnsi="Arial" w:hint="default"/>
      </w:rPr>
    </w:lvl>
    <w:lvl w:ilvl="1" w:tplc="4AF87308">
      <w:start w:val="1"/>
      <w:numFmt w:val="bullet"/>
      <w:lvlText w:val="•"/>
      <w:lvlJc w:val="left"/>
      <w:pPr>
        <w:tabs>
          <w:tab w:val="num" w:pos="1440"/>
        </w:tabs>
        <w:ind w:left="1440" w:hanging="360"/>
      </w:pPr>
      <w:rPr>
        <w:rFonts w:ascii="Arial" w:hAnsi="Arial" w:hint="default"/>
      </w:rPr>
    </w:lvl>
    <w:lvl w:ilvl="2" w:tplc="6F9E8BAA" w:tentative="1">
      <w:start w:val="1"/>
      <w:numFmt w:val="bullet"/>
      <w:lvlText w:val="•"/>
      <w:lvlJc w:val="left"/>
      <w:pPr>
        <w:tabs>
          <w:tab w:val="num" w:pos="2160"/>
        </w:tabs>
        <w:ind w:left="2160" w:hanging="360"/>
      </w:pPr>
      <w:rPr>
        <w:rFonts w:ascii="Arial" w:hAnsi="Arial" w:hint="default"/>
      </w:rPr>
    </w:lvl>
    <w:lvl w:ilvl="3" w:tplc="7360A2D6" w:tentative="1">
      <w:start w:val="1"/>
      <w:numFmt w:val="bullet"/>
      <w:lvlText w:val="•"/>
      <w:lvlJc w:val="left"/>
      <w:pPr>
        <w:tabs>
          <w:tab w:val="num" w:pos="2880"/>
        </w:tabs>
        <w:ind w:left="2880" w:hanging="360"/>
      </w:pPr>
      <w:rPr>
        <w:rFonts w:ascii="Arial" w:hAnsi="Arial" w:hint="default"/>
      </w:rPr>
    </w:lvl>
    <w:lvl w:ilvl="4" w:tplc="7884F3A8" w:tentative="1">
      <w:start w:val="1"/>
      <w:numFmt w:val="bullet"/>
      <w:lvlText w:val="•"/>
      <w:lvlJc w:val="left"/>
      <w:pPr>
        <w:tabs>
          <w:tab w:val="num" w:pos="3600"/>
        </w:tabs>
        <w:ind w:left="3600" w:hanging="360"/>
      </w:pPr>
      <w:rPr>
        <w:rFonts w:ascii="Arial" w:hAnsi="Arial" w:hint="default"/>
      </w:rPr>
    </w:lvl>
    <w:lvl w:ilvl="5" w:tplc="FBD81046" w:tentative="1">
      <w:start w:val="1"/>
      <w:numFmt w:val="bullet"/>
      <w:lvlText w:val="•"/>
      <w:lvlJc w:val="left"/>
      <w:pPr>
        <w:tabs>
          <w:tab w:val="num" w:pos="4320"/>
        </w:tabs>
        <w:ind w:left="4320" w:hanging="360"/>
      </w:pPr>
      <w:rPr>
        <w:rFonts w:ascii="Arial" w:hAnsi="Arial" w:hint="default"/>
      </w:rPr>
    </w:lvl>
    <w:lvl w:ilvl="6" w:tplc="9312BE38" w:tentative="1">
      <w:start w:val="1"/>
      <w:numFmt w:val="bullet"/>
      <w:lvlText w:val="•"/>
      <w:lvlJc w:val="left"/>
      <w:pPr>
        <w:tabs>
          <w:tab w:val="num" w:pos="5040"/>
        </w:tabs>
        <w:ind w:left="5040" w:hanging="360"/>
      </w:pPr>
      <w:rPr>
        <w:rFonts w:ascii="Arial" w:hAnsi="Arial" w:hint="default"/>
      </w:rPr>
    </w:lvl>
    <w:lvl w:ilvl="7" w:tplc="1CC61DA0" w:tentative="1">
      <w:start w:val="1"/>
      <w:numFmt w:val="bullet"/>
      <w:lvlText w:val="•"/>
      <w:lvlJc w:val="left"/>
      <w:pPr>
        <w:tabs>
          <w:tab w:val="num" w:pos="5760"/>
        </w:tabs>
        <w:ind w:left="5760" w:hanging="360"/>
      </w:pPr>
      <w:rPr>
        <w:rFonts w:ascii="Arial" w:hAnsi="Arial" w:hint="default"/>
      </w:rPr>
    </w:lvl>
    <w:lvl w:ilvl="8" w:tplc="07ACB86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F46"/>
    <w:rsid w:val="000F3229"/>
    <w:rsid w:val="001C3D1A"/>
    <w:rsid w:val="00301ADE"/>
    <w:rsid w:val="00354D4D"/>
    <w:rsid w:val="003E513E"/>
    <w:rsid w:val="00420796"/>
    <w:rsid w:val="00493F17"/>
    <w:rsid w:val="005B2F46"/>
    <w:rsid w:val="00613C6A"/>
    <w:rsid w:val="006B5291"/>
    <w:rsid w:val="006E67C4"/>
    <w:rsid w:val="0070396C"/>
    <w:rsid w:val="007C6688"/>
    <w:rsid w:val="009327D7"/>
    <w:rsid w:val="009A394C"/>
    <w:rsid w:val="00A00ABD"/>
    <w:rsid w:val="00A87784"/>
    <w:rsid w:val="00CF2066"/>
    <w:rsid w:val="00D26D6B"/>
    <w:rsid w:val="00DA1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1661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F17"/>
    <w:pPr>
      <w:ind w:left="720"/>
      <w:contextualSpacing/>
    </w:pPr>
  </w:style>
  <w:style w:type="paragraph" w:styleId="BalloonText">
    <w:name w:val="Balloon Text"/>
    <w:basedOn w:val="Normal"/>
    <w:link w:val="BalloonTextChar"/>
    <w:uiPriority w:val="99"/>
    <w:semiHidden/>
    <w:unhideWhenUsed/>
    <w:rsid w:val="00DA13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13F2"/>
    <w:rPr>
      <w:rFonts w:ascii="Lucida Grande" w:hAnsi="Lucida Grande" w:cs="Lucida Grande"/>
      <w:sz w:val="18"/>
      <w:szCs w:val="18"/>
    </w:rPr>
  </w:style>
  <w:style w:type="character" w:styleId="Hyperlink">
    <w:name w:val="Hyperlink"/>
    <w:basedOn w:val="DefaultParagraphFont"/>
    <w:uiPriority w:val="99"/>
    <w:unhideWhenUsed/>
    <w:rsid w:val="009A394C"/>
    <w:rPr>
      <w:color w:val="0000FF" w:themeColor="hyperlink"/>
      <w:u w:val="single"/>
    </w:rPr>
  </w:style>
  <w:style w:type="character" w:styleId="CommentReference">
    <w:name w:val="annotation reference"/>
    <w:basedOn w:val="DefaultParagraphFont"/>
    <w:uiPriority w:val="99"/>
    <w:semiHidden/>
    <w:unhideWhenUsed/>
    <w:rsid w:val="009A394C"/>
    <w:rPr>
      <w:sz w:val="18"/>
      <w:szCs w:val="18"/>
    </w:rPr>
  </w:style>
  <w:style w:type="paragraph" w:styleId="CommentText">
    <w:name w:val="annotation text"/>
    <w:basedOn w:val="Normal"/>
    <w:link w:val="CommentTextChar"/>
    <w:uiPriority w:val="99"/>
    <w:semiHidden/>
    <w:unhideWhenUsed/>
    <w:rsid w:val="009A394C"/>
  </w:style>
  <w:style w:type="character" w:customStyle="1" w:styleId="CommentTextChar">
    <w:name w:val="Comment Text Char"/>
    <w:basedOn w:val="DefaultParagraphFont"/>
    <w:link w:val="CommentText"/>
    <w:uiPriority w:val="99"/>
    <w:semiHidden/>
    <w:rsid w:val="009A39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F17"/>
    <w:pPr>
      <w:ind w:left="720"/>
      <w:contextualSpacing/>
    </w:pPr>
  </w:style>
  <w:style w:type="paragraph" w:styleId="BalloonText">
    <w:name w:val="Balloon Text"/>
    <w:basedOn w:val="Normal"/>
    <w:link w:val="BalloonTextChar"/>
    <w:uiPriority w:val="99"/>
    <w:semiHidden/>
    <w:unhideWhenUsed/>
    <w:rsid w:val="00DA13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13F2"/>
    <w:rPr>
      <w:rFonts w:ascii="Lucida Grande" w:hAnsi="Lucida Grande" w:cs="Lucida Grande"/>
      <w:sz w:val="18"/>
      <w:szCs w:val="18"/>
    </w:rPr>
  </w:style>
  <w:style w:type="character" w:styleId="Hyperlink">
    <w:name w:val="Hyperlink"/>
    <w:basedOn w:val="DefaultParagraphFont"/>
    <w:uiPriority w:val="99"/>
    <w:unhideWhenUsed/>
    <w:rsid w:val="009A394C"/>
    <w:rPr>
      <w:color w:val="0000FF" w:themeColor="hyperlink"/>
      <w:u w:val="single"/>
    </w:rPr>
  </w:style>
  <w:style w:type="character" w:styleId="CommentReference">
    <w:name w:val="annotation reference"/>
    <w:basedOn w:val="DefaultParagraphFont"/>
    <w:uiPriority w:val="99"/>
    <w:semiHidden/>
    <w:unhideWhenUsed/>
    <w:rsid w:val="009A394C"/>
    <w:rPr>
      <w:sz w:val="18"/>
      <w:szCs w:val="18"/>
    </w:rPr>
  </w:style>
  <w:style w:type="paragraph" w:styleId="CommentText">
    <w:name w:val="annotation text"/>
    <w:basedOn w:val="Normal"/>
    <w:link w:val="CommentTextChar"/>
    <w:uiPriority w:val="99"/>
    <w:semiHidden/>
    <w:unhideWhenUsed/>
    <w:rsid w:val="009A394C"/>
  </w:style>
  <w:style w:type="character" w:customStyle="1" w:styleId="CommentTextChar">
    <w:name w:val="Comment Text Char"/>
    <w:basedOn w:val="DefaultParagraphFont"/>
    <w:link w:val="CommentText"/>
    <w:uiPriority w:val="99"/>
    <w:semiHidden/>
    <w:rsid w:val="009A3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07403">
      <w:bodyDiv w:val="1"/>
      <w:marLeft w:val="0"/>
      <w:marRight w:val="0"/>
      <w:marTop w:val="0"/>
      <w:marBottom w:val="0"/>
      <w:divBdr>
        <w:top w:val="none" w:sz="0" w:space="0" w:color="auto"/>
        <w:left w:val="none" w:sz="0" w:space="0" w:color="auto"/>
        <w:bottom w:val="none" w:sz="0" w:space="0" w:color="auto"/>
        <w:right w:val="none" w:sz="0" w:space="0" w:color="auto"/>
      </w:divBdr>
      <w:divsChild>
        <w:div w:id="1336029229">
          <w:marLeft w:val="547"/>
          <w:marRight w:val="0"/>
          <w:marTop w:val="0"/>
          <w:marBottom w:val="120"/>
          <w:divBdr>
            <w:top w:val="none" w:sz="0" w:space="0" w:color="auto"/>
            <w:left w:val="none" w:sz="0" w:space="0" w:color="auto"/>
            <w:bottom w:val="none" w:sz="0" w:space="0" w:color="auto"/>
            <w:right w:val="none" w:sz="0" w:space="0" w:color="auto"/>
          </w:divBdr>
        </w:div>
        <w:div w:id="2095975650">
          <w:marLeft w:val="547"/>
          <w:marRight w:val="0"/>
          <w:marTop w:val="0"/>
          <w:marBottom w:val="120"/>
          <w:divBdr>
            <w:top w:val="none" w:sz="0" w:space="0" w:color="auto"/>
            <w:left w:val="none" w:sz="0" w:space="0" w:color="auto"/>
            <w:bottom w:val="none" w:sz="0" w:space="0" w:color="auto"/>
            <w:right w:val="none" w:sz="0" w:space="0" w:color="auto"/>
          </w:divBdr>
        </w:div>
        <w:div w:id="983698556">
          <w:marLeft w:val="547"/>
          <w:marRight w:val="0"/>
          <w:marTop w:val="0"/>
          <w:marBottom w:val="12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en.wikipedia.org/wiki/Binomial_proportion_confidence_interval" TargetMode="External"/><Relationship Id="rId2" Type="http://schemas.openxmlformats.org/officeDocument/2006/relationships/styles" Target="styles.xml"/><Relationship Id="rId16" Type="http://schemas.openxmlformats.org/officeDocument/2006/relationships/hyperlink" Target="http://en.wikipedia.org/wiki/Binomial_distributio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hyperlink" Target="http://www.ucl.ac.uk/english-usage/staff/sean/resources/binomialpoisson.pdf"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12</Pages>
  <Words>1102</Words>
  <Characters>6282</Characters>
  <Application>Microsoft Office Word</Application>
  <DocSecurity>0</DocSecurity>
  <Lines>52</Lines>
  <Paragraphs>14</Paragraphs>
  <ScaleCrop>false</ScaleCrop>
  <Company/>
  <LinksUpToDate>false</LinksUpToDate>
  <CharactersWithSpaces>7370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Ward Fleri</cp:lastModifiedBy>
  <cp:revision>7</cp:revision>
  <dcterms:created xsi:type="dcterms:W3CDTF">2014-07-30T22:44:00Z</dcterms:created>
  <dcterms:modified xsi:type="dcterms:W3CDTF">2016-06-07T17:46:00Z</dcterms:modified>
</cp:coreProperties>
</file>